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460" w:lineRule="exact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黑体" w:eastAsia="黑体"/>
          <w:sz w:val="18"/>
          <w:bdr w:val="single" w:color="auto" w:sz="4" w:space="0"/>
        </w:rPr>
        <w:t>佛山市禅城区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sz w:val="36"/>
        </w:rPr>
        <w:t xml:space="preserve">      </w:t>
      </w: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申请认定教师资格信息审核表</w:t>
      </w:r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6"/>
        </w:rPr>
        <w:t>*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网</w:t>
      </w:r>
      <w:r>
        <w:rPr>
          <w:rFonts w:hint="eastAsia" w:ascii="黑体" w:eastAsia="黑体"/>
          <w:lang w:eastAsia="zh-CN"/>
        </w:rPr>
        <w:t>上报名号：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姓名：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</w:rPr>
        <w:t>工作单位：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联系电话：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申请任教学科：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</w:rPr>
        <w:t>申请认定教师资格种类：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人员类别：</w:t>
      </w:r>
      <w:r>
        <w:rPr>
          <w:rFonts w:hint="eastAsia" w:ascii="仿宋" w:hAnsi="仿宋" w:eastAsia="仿宋" w:cs="仿宋"/>
          <w:color w:val="auto"/>
          <w:sz w:val="24"/>
        </w:rPr>
        <w:t>□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禅城区户籍人员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</w:rPr>
        <w:t>□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禅城区居住证人员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</w:rPr>
        <w:t>□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应届毕业生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</w:rPr>
        <w:t>□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港澳台居民</w:t>
      </w:r>
    </w:p>
    <w:tbl>
      <w:tblPr>
        <w:tblStyle w:val="3"/>
        <w:tblpPr w:leftFromText="180" w:rightFromText="180" w:vertAnchor="text" w:horzAnchor="page" w:tblpX="1358" w:tblpY="543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65"/>
        <w:gridCol w:w="2735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基本材料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身份证原件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所有申请人须提供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本人户口簿或集体户口证明原件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禅城区户籍人员提供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禅城区居住证原件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非禅城区户籍人员提供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学生证原件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禅城区内高等院校应届毕业生及在读研究生提供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港澳台居民居住证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（禅城区签发）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或港澳居民来往内地通行证或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有效期台湾居民来往大陆通行证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禅城区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居住或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参加教师资格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港澳台居民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军官证或士兵证原件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60" w:lineRule="exact"/>
              <w:ind w:right="0" w:rightChars="0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部队现役军人和现役武警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学历证书原件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学历鉴定证明原件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《教育部学历证书电子注册备案表》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学历信息不能通过“教师资格管理信息系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统”核验的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申请人须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《国（境）外学历认证书》原件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持国（境）外学历的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申请人须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普通话水平测试等级证书原件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普通话水平等级测试信息通过“教师资格管理信息系统”核验的不用提交普通话证书原件，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不能通过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核验的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需提供普通话证书原件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外省、外市考取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普通话证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须提供当时当地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读证明或连续六个月当地社保证明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，否则不予认可。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在师范院校就读期间的成绩单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及复印件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2016年5月31日以前入学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的全日制师范毕业生须提交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专业技术职务或工人技术等级证书原件</w:t>
            </w:r>
          </w:p>
        </w:tc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申请认定中等职业学校实习指导教师资格的人员提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贴资格证相片处</w:t>
            </w:r>
          </w:p>
        </w:tc>
        <w:tc>
          <w:tcPr>
            <w:tcW w:w="7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网报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上传照片和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教师资格证书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照片统一使用近期免冠正面1寸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彩色白底证件照（上传格式为JPG/JPEG格式，不大于200K）。</w:t>
            </w:r>
            <w:r>
              <w:rPr>
                <w:rFonts w:hint="eastAsia" w:ascii="仿宋" w:hAnsi="仿宋" w:eastAsia="仿宋" w:cs="仿宋"/>
                <w:sz w:val="24"/>
              </w:rPr>
              <w:t>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贴在</w:t>
            </w:r>
            <w:r>
              <w:rPr>
                <w:rFonts w:hint="eastAsia" w:ascii="仿宋" w:hAnsi="仿宋" w:eastAsia="仿宋" w:cs="仿宋"/>
                <w:sz w:val="24"/>
              </w:rPr>
              <w:t>体检表及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网报</w:t>
            </w:r>
            <w:r>
              <w:rPr>
                <w:rFonts w:hint="eastAsia" w:ascii="仿宋" w:hAnsi="仿宋" w:eastAsia="仿宋" w:cs="仿宋"/>
                <w:sz w:val="24"/>
              </w:rPr>
              <w:t>的照片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9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此表由申请人自行打印，填好相关信息并提交，所提交的资料原件现场审核完交还申请人。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粗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7336A"/>
    <w:rsid w:val="188733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2020-06-09T04:29:00Z</dcterms:created>
  <dc:creator>唐年生</dc:creator>
  <cp:lastModifiedBy>唐年生</cp:lastModifiedBy>
  <dcterms:modified xsi:type="dcterms:W3CDTF">2020-06-09T04:29:35Z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