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图五</w:t>
      </w: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0" distR="0">
            <wp:extent cx="5095875" cy="2019300"/>
            <wp:effectExtent l="0" t="0" r="9525" b="0"/>
            <wp:docPr id="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图六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3.缴费单样式如图七，下载缴费单后，社会人士请核对缴费单文件名（如图八）与缴费单上的缴费人编号是否一致。</w:t>
      </w:r>
    </w:p>
    <w:p>
      <w:pPr>
        <w:rPr>
          <w:rFonts w:hint="eastAsia" w:ascii="仿宋_GB2312" w:hAnsi="仿宋_GB2312" w:eastAsia="仿宋_GB2312" w:cs="仿宋_GB2312"/>
        </w:rPr>
      </w:pPr>
      <w:bookmarkStart w:id="0" w:name="_GoBack"/>
      <w:bookmarkEnd w:id="0"/>
      <w:r>
        <w:rPr>
          <w:rFonts w:ascii="仿宋_GB2312" w:hAnsi="仿宋_GB2312" w:eastAsia="仿宋_GB2312" w:cs="仿宋_GB2312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87190" cy="3865245"/>
                <wp:effectExtent l="4445" t="4445" r="18415" b="165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386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3990975" cy="3571875"/>
                                  <wp:effectExtent l="0" t="0" r="9525" b="9525"/>
                                  <wp:docPr id="4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0975" cy="3571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top:0pt;height:304.35pt;width:329.7pt;mso-position-horizontal:center;mso-wrap-style:none;z-index:251676672;mso-width-relative:margin;mso-height-relative:margin;mso-width-percent:400;mso-height-percent:200;" stroked="t" coordsize="21600,21600" o:gfxdata="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EYRPtIAAAAFAQAADwAAAAAA&#10;AAABACAAAAAiAAAAZHJzL2Rvd25yZXYueG1sUEsBAhQAFAAAAAgAh07iQHmqleAZAgAAXQQAAA4A&#10;AAAAAAAAAQAgAAAAIQEAAGRycy9lMm9Eb2MueG1sUEsFBgAAAAAGAAYAWQEAAKwFAAAAAA==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r>
                        <w:drawing>
                          <wp:inline distT="0" distB="0" distL="0" distR="0">
                            <wp:extent cx="3990975" cy="3571875"/>
                            <wp:effectExtent l="0" t="0" r="9525" b="9525"/>
                            <wp:docPr id="4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90975" cy="3571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</w:rPr>
      </w:pPr>
    </w:p>
    <w:p>
      <w:pPr>
        <w:jc w:val="left"/>
        <w:rPr>
          <w:rFonts w:ascii="仿宋_GB2312" w:hAnsi="仿宋_GB2312" w:eastAsia="仿宋_GB2312" w:cs="仿宋_GB2312"/>
          <w:sz w:val="26"/>
          <w:szCs w:val="26"/>
        </w:rPr>
      </w:pPr>
    </w:p>
    <w:p>
      <w:pPr>
        <w:jc w:val="left"/>
        <w:rPr>
          <w:rFonts w:hint="eastAsia" w:ascii="仿宋_GB2312" w:hAnsi="仿宋_GB2312" w:eastAsia="仿宋_GB2312" w:cs="仿宋_GB2312"/>
          <w:sz w:val="26"/>
          <w:szCs w:val="26"/>
        </w:rPr>
      </w:pPr>
    </w:p>
    <w:p>
      <w:pPr>
        <w:jc w:val="left"/>
        <w:rPr>
          <w:rFonts w:ascii="仿宋_GB2312" w:hAnsi="仿宋_GB2312" w:eastAsia="仿宋_GB2312" w:cs="仿宋_GB2312"/>
          <w:sz w:val="26"/>
          <w:szCs w:val="26"/>
        </w:rPr>
      </w:pPr>
    </w:p>
    <w:p>
      <w:pPr>
        <w:jc w:val="left"/>
        <w:rPr>
          <w:rFonts w:ascii="仿宋_GB2312" w:hAnsi="仿宋_GB2312" w:eastAsia="仿宋_GB2312" w:cs="仿宋_GB2312"/>
          <w:sz w:val="26"/>
          <w:szCs w:val="26"/>
        </w:rPr>
      </w:pPr>
    </w:p>
    <w:p>
      <w:pPr>
        <w:jc w:val="left"/>
        <w:rPr>
          <w:rFonts w:ascii="仿宋_GB2312" w:hAnsi="仿宋_GB2312" w:eastAsia="仿宋_GB2312" w:cs="仿宋_GB2312"/>
          <w:sz w:val="26"/>
          <w:szCs w:val="26"/>
        </w:rPr>
      </w:pPr>
    </w:p>
    <w:p>
      <w:pPr>
        <w:jc w:val="left"/>
        <w:rPr>
          <w:rFonts w:ascii="仿宋_GB2312" w:hAnsi="仿宋_GB2312" w:eastAsia="仿宋_GB2312" w:cs="仿宋_GB2312"/>
          <w:sz w:val="26"/>
          <w:szCs w:val="26"/>
        </w:rPr>
      </w:pPr>
    </w:p>
    <w:p>
      <w:pPr>
        <w:jc w:val="left"/>
        <w:rPr>
          <w:rFonts w:ascii="仿宋_GB2312" w:hAnsi="仿宋_GB2312" w:eastAsia="仿宋_GB2312" w:cs="仿宋_GB2312"/>
          <w:sz w:val="26"/>
          <w:szCs w:val="26"/>
        </w:rPr>
      </w:pPr>
    </w:p>
    <w:p>
      <w:pPr>
        <w:jc w:val="left"/>
        <w:rPr>
          <w:rFonts w:ascii="仿宋_GB2312" w:hAnsi="仿宋_GB2312" w:eastAsia="仿宋_GB2312" w:cs="仿宋_GB2312"/>
          <w:sz w:val="26"/>
          <w:szCs w:val="26"/>
        </w:rPr>
      </w:pPr>
    </w:p>
    <w:p>
      <w:pPr>
        <w:jc w:val="left"/>
        <w:rPr>
          <w:rFonts w:ascii="仿宋_GB2312" w:hAnsi="仿宋_GB2312" w:eastAsia="仿宋_GB2312" w:cs="仿宋_GB2312"/>
          <w:sz w:val="26"/>
          <w:szCs w:val="26"/>
        </w:rPr>
      </w:pPr>
    </w:p>
    <w:p>
      <w:pPr>
        <w:jc w:val="center"/>
        <w:rPr>
          <w:rFonts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图七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0" distR="0">
            <wp:extent cx="3600450" cy="2495550"/>
            <wp:effectExtent l="0" t="0" r="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图八</w:t>
      </w:r>
    </w:p>
    <w:p>
      <w:pPr>
        <w:spacing w:line="560" w:lineRule="exact"/>
        <w:ind w:firstLine="640" w:firstLineChars="2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（六）下载准考证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考前两天，请各考生(社会人士)登陆东莞市普通话水平测试管理系统，地址：</w:t>
      </w:r>
      <w:r>
        <w:fldChar w:fldCharType="begin"/>
      </w:r>
      <w:r>
        <w:instrText xml:space="preserve"> HYPERLINK "http://pth.dgjy.net/pthtest_ks" </w:instrText>
      </w:r>
      <w:r>
        <w:fldChar w:fldCharType="separate"/>
      </w:r>
      <w:r>
        <w:rPr>
          <w:rStyle w:val="4"/>
          <w:rFonts w:ascii="Times New Roman" w:hAnsi="Times New Roman" w:eastAsia="仿宋_GB2312"/>
          <w:sz w:val="32"/>
          <w:szCs w:val="32"/>
        </w:rPr>
        <w:t>http://pth.dgjy.net/pthtest_ks</w:t>
      </w:r>
      <w:r>
        <w:rPr>
          <w:rStyle w:val="4"/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 xml:space="preserve"> 如图九，点击“下载”按钮，下载准考证。在校生由学校统一打印准考证。</w:t>
      </w: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0" distR="0">
            <wp:extent cx="5267325" cy="2390775"/>
            <wp:effectExtent l="0" t="0" r="9525" b="952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color w:val="FF0000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图九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D3AF0"/>
    <w:rsid w:val="295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CDD0D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2021-03-15T06:21:00Z</dcterms:created>
  <dc:creator>九三</dc:creator>
  <cp:lastModifiedBy>九三</cp:lastModifiedBy>
  <dcterms:modified xsi:type="dcterms:W3CDTF">2021-03-15T06:21:56Z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