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shd w:val="clear"/>
          <w14:textFill>
            <w14:solidFill>
              <w14:schemeClr w14:val="tx1"/>
            </w14:solidFill>
          </w14:textFill>
        </w:rPr>
      </w:pP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佛山市</w:t>
      </w:r>
      <w:r>
        <w:rPr>
          <w:rFonts w:hint="eastAsia" w:ascii="方正小标宋简体" w:hAnsi="Tahoma" w:eastAsia="方正小标宋简体" w:cs="Tahoma"/>
          <w:bCs/>
          <w:kern w:val="0"/>
          <w:sz w:val="44"/>
          <w:szCs w:val="44"/>
          <w:lang w:eastAsia="zh-CN"/>
        </w:rPr>
        <w:t>2024年上半年</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中小学教师资格考试面试</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审核</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公告</w:t>
      </w:r>
    </w:p>
    <w:p>
      <w:pPr>
        <w:widowControl/>
        <w:shd w:val="clear"/>
        <w:jc w:val="center"/>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widowControl/>
        <w:shd w:val="clear"/>
        <w:ind w:firstLine="640"/>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shd w:val="clear"/>
          <w14:textFill>
            <w14:solidFill>
              <w14:schemeClr w14:val="tx1"/>
            </w14:solidFill>
          </w14:textFill>
        </w:rPr>
      </w:pPr>
      <w:r>
        <w:rPr>
          <w:rFonts w:hint="eastAsia" w:ascii="仿宋_GB2312" w:hAnsi="仿宋_GB2312" w:eastAsia="仿宋_GB2312" w:cs="仿宋_GB2312"/>
          <w:color w:val="000000"/>
          <w:kern w:val="0"/>
          <w:sz w:val="32"/>
          <w:szCs w:val="32"/>
          <w:shd w:val="clear"/>
        </w:rPr>
        <w:t>根据省教育厅统一部署和佛山市工作安排，现将</w:t>
      </w:r>
      <w:r>
        <w:rPr>
          <w:rFonts w:hint="eastAsia" w:ascii="仿宋_GB2312" w:hAnsi="仿宋_GB2312" w:eastAsia="仿宋_GB2312" w:cs="仿宋_GB2312"/>
          <w:color w:val="000000"/>
          <w:kern w:val="0"/>
          <w:sz w:val="32"/>
          <w:szCs w:val="32"/>
          <w:shd w:val="clear"/>
          <w:lang w:eastAsia="zh-CN"/>
        </w:rPr>
        <w:t>2024年上半年</w:t>
      </w:r>
      <w:r>
        <w:rPr>
          <w:rFonts w:hint="eastAsia" w:ascii="仿宋_GB2312" w:hAnsi="仿宋_GB2312" w:eastAsia="仿宋_GB2312" w:cs="仿宋_GB2312"/>
          <w:color w:val="000000"/>
          <w:kern w:val="0"/>
          <w:sz w:val="32"/>
          <w:szCs w:val="32"/>
          <w:shd w:val="clear"/>
        </w:rPr>
        <w:t>中小学教师资格考试面试审核工作的有关事宜公告</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如下：</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shd w:val="clear"/>
          <w14:textFill>
            <w14:solidFill>
              <w14:schemeClr w14:val="tx1"/>
            </w14:solidFill>
          </w14:textFill>
        </w:rPr>
      </w:pPr>
      <w:r>
        <w:rPr>
          <w:rFonts w:hint="eastAsia" w:ascii="黑体" w:hAnsi="黑体" w:eastAsia="黑体" w:cs="黑体"/>
          <w:b w:val="0"/>
          <w:bCs w:val="0"/>
          <w:color w:val="000000" w:themeColor="text1"/>
          <w:kern w:val="0"/>
          <w:sz w:val="32"/>
          <w:szCs w:val="32"/>
          <w:shd w:val="clear"/>
          <w14:textFill>
            <w14:solidFill>
              <w14:schemeClr w14:val="tx1"/>
            </w14:solidFill>
          </w14:textFill>
        </w:rPr>
        <w:t>一、面试对象</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（一）佛山市户籍人员；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（二）持有佛山市居住证并在有效期内的外省（区、市）户籍人员；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（三）</w:t>
      </w:r>
      <w:r>
        <w:rPr>
          <w:rFonts w:hint="eastAsia" w:ascii="仿宋_GB2312" w:hAnsi="仿宋_GB2312" w:eastAsia="仿宋_GB2312" w:cs="仿宋_GB2312"/>
          <w:color w:val="000000" w:themeColor="text1"/>
          <w:sz w:val="32"/>
          <w:szCs w:val="32"/>
          <w:shd w:val="clear"/>
          <w14:textFill>
            <w14:solidFill>
              <w14:schemeClr w14:val="tx1"/>
            </w14:solidFill>
          </w14:textFill>
        </w:rPr>
        <w:t>佛山市</w:t>
      </w:r>
      <w:r>
        <w:rPr>
          <w:rFonts w:hint="eastAsia" w:ascii="仿宋_GB2312" w:hAnsi="仿宋_GB2312" w:eastAsia="仿宋_GB2312" w:cs="仿宋_GB2312"/>
          <w:sz w:val="32"/>
          <w:szCs w:val="32"/>
          <w:shd w:val="clear"/>
        </w:rPr>
        <w:t>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kern w:val="0"/>
          <w:sz w:val="32"/>
          <w:szCs w:val="32"/>
          <w:shd w:val="clear"/>
        </w:rPr>
        <w:t>；</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kern w:val="0"/>
          <w:sz w:val="32"/>
          <w:szCs w:val="32"/>
          <w:shd w:val="clear"/>
        </w:rPr>
        <w:t>（四）佛山市内居住或教师资格考试笔试报考地为佛山考区，</w:t>
      </w:r>
      <w:r>
        <w:rPr>
          <w:rFonts w:hint="eastAsia" w:ascii="仿宋_GB2312" w:hAnsi="仿宋_GB2312" w:eastAsia="仿宋_GB2312" w:cs="仿宋_GB2312"/>
          <w:sz w:val="32"/>
          <w:szCs w:val="32"/>
          <w:shd w:val="clear"/>
        </w:rPr>
        <w:t>持港澳台居民居住证或港澳居民来往内地通行证或五年有效期台湾居民来往大陆通行证的港澳台居民。</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bCs/>
          <w:sz w:val="32"/>
          <w:szCs w:val="32"/>
          <w:shd w:val="clear"/>
        </w:rPr>
        <w:t>以上人员须已参加中小学教师资格考试笔试且各科笔试成绩合格并在有效期内，方可报名参加本次面试。</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shd w:val="clear"/>
          <w14:textFill>
            <w14:solidFill>
              <w14:schemeClr w14:val="tx1"/>
            </w14:solidFill>
          </w14:textFill>
        </w:rPr>
      </w:pPr>
      <w:r>
        <w:rPr>
          <w:rFonts w:hint="eastAsia" w:ascii="黑体" w:hAnsi="黑体" w:eastAsia="黑体" w:cs="黑体"/>
          <w:color w:val="000000" w:themeColor="text1"/>
          <w:kern w:val="0"/>
          <w:sz w:val="32"/>
          <w:szCs w:val="32"/>
          <w:shd w:val="clear"/>
          <w14:textFill>
            <w14:solidFill>
              <w14:schemeClr w14:val="tx1"/>
            </w14:solidFill>
          </w14:textFill>
        </w:rPr>
        <w:t>二、报名条件</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（一）具有中华人民共和国国籍，身体健康。</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（二）遵守宪法和法律，热爱教育事业，具有良好的思想品德。</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color w:val="000000" w:themeColor="text1"/>
          <w:sz w:val="32"/>
          <w:szCs w:val="32"/>
          <w:shd w:val="clear"/>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 xml:space="preserve"> 未达到国家法定退休年龄</w:t>
      </w:r>
      <w:r>
        <w:rPr>
          <w:rFonts w:hint="eastAsia" w:ascii="仿宋_GB2312" w:hAnsi="仿宋_GB2312" w:eastAsia="仿宋_GB2312" w:cs="仿宋_GB2312"/>
          <w:kern w:val="0"/>
          <w:sz w:val="32"/>
          <w:szCs w:val="32"/>
          <w:shd w:val="clear"/>
        </w:rPr>
        <w:t xml:space="preserve">。  </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（四）符合《教师法》规定的学历要求：</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1.报考幼儿园教师资格面试，应当具备幼儿师范学校毕业及以上学历。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2.报考小学教师资格面试，应当具备中等师范学校毕业及以上学历。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3.报考初级中学教师资格面试，应当具备高等师范专科学校或者其他大学专科毕业及以上学历。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5.报考中等职业学校实习指导教师资格（包括中等专业学校、技工学校、职业高级中学实习指导教师资格）面试，应当具备中等职业学校毕业及以上学历。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港澳台居民参加全国中小学</w:t>
      </w:r>
      <w:r>
        <w:rPr>
          <w:rFonts w:hint="eastAsia" w:ascii="仿宋_GB2312" w:hAnsi="仿宋_GB2312" w:eastAsia="仿宋_GB2312" w:cs="仿宋_GB2312"/>
          <w:sz w:val="32"/>
          <w:szCs w:val="32"/>
          <w:shd w:val="clear"/>
          <w:lang w:val="en-US" w:eastAsia="zh-CN"/>
        </w:rPr>
        <w:t>教师</w:t>
      </w:r>
      <w:r>
        <w:rPr>
          <w:rFonts w:hint="eastAsia" w:ascii="仿宋_GB2312" w:hAnsi="仿宋_GB2312" w:eastAsia="仿宋_GB2312" w:cs="仿宋_GB2312"/>
          <w:sz w:val="32"/>
          <w:szCs w:val="32"/>
          <w:shd w:val="clear"/>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shd w:val="clear"/>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color w:val="000000" w:themeColor="text1"/>
          <w:sz w:val="32"/>
          <w:szCs w:val="32"/>
          <w:shd w:val="clear"/>
          <w14:textFill>
            <w14:solidFill>
              <w14:schemeClr w14:val="tx1"/>
            </w14:solidFill>
          </w14:textFill>
        </w:rPr>
        <w:t>，凭学校出具的在籍学习证明（或学生证）报考相应的教师资格（</w:t>
      </w:r>
      <w:r>
        <w:rPr>
          <w:rFonts w:hint="eastAsia" w:ascii="仿宋_GB2312" w:hAnsi="仿宋_GB2312" w:eastAsia="仿宋_GB2312" w:cs="仿宋_GB2312"/>
          <w:b/>
          <w:bCs/>
          <w:color w:val="000000" w:themeColor="text1"/>
          <w:sz w:val="32"/>
          <w:szCs w:val="32"/>
          <w:shd w:val="clear"/>
          <w14:textFill>
            <w14:solidFill>
              <w14:schemeClr w14:val="tx1"/>
            </w14:solidFill>
          </w14:textFill>
        </w:rPr>
        <w:t>佛山科学技术学院所有校区的教师资格面试审核工作均统一由南海区教育局负责</w:t>
      </w:r>
      <w:r>
        <w:rPr>
          <w:rFonts w:hint="eastAsia" w:ascii="仿宋_GB2312" w:hAnsi="仿宋_GB2312" w:eastAsia="仿宋_GB2312" w:cs="仿宋_GB2312"/>
          <w:color w:val="000000" w:themeColor="text1"/>
          <w:sz w:val="32"/>
          <w:szCs w:val="32"/>
          <w:shd w:val="clear"/>
          <w14:textFill>
            <w14:solidFill>
              <w14:schemeClr w14:val="tx1"/>
            </w14:solidFill>
          </w14:textFill>
        </w:rPr>
        <w:t>）。</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六）符合上述报考条件，已通过中小学教师资格考试笔试且成绩在有效期内，方可报名参加面试。被撤销教师资格的，从撤销教师资格之日起，5年内不得报名参加考试；受到剥夺政治权利，或故意犯罪受到有期徒刑以上刑事处罚的，不得报名参加考试。曾参加教师资格考试有违规行为的，按照《国家教育考试违规处理办法》（教育部第33号令）的相关规定执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rPr>
      </w:pPr>
      <w:r>
        <w:rPr>
          <w:rFonts w:hint="eastAsia" w:ascii="黑体" w:hAnsi="黑体" w:eastAsia="黑体" w:cs="黑体"/>
          <w:sz w:val="32"/>
          <w:szCs w:val="32"/>
          <w:shd w:val="clear"/>
        </w:rPr>
        <w:t>三、面试内容及科目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（一）面试内容</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s://ntce.neea.edu.cn）查阅各科目考试大纲。</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（二）面试科目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1.幼儿园教师资格面试不分科目。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2.小学教师资格面试分语文、数学、英语、道德与法治、科学、体育、音乐、美术、心理健康教育、信息技术、小学全科、特殊教育，共12个科目。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3.初级中学教师资格面试分语文、数学、英语、道德与法治、历史、地理、物理、化学、生物、音乐、体育与健康、美术、信息技术、历史与社会、科学、心理健康教育、日语、俄语、特殊教育，共19个科目。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4.高级中学教师资格面试分语文、数学、英语、思想政治、历史、地理、物理、化学、生物、音乐、体育与健康、美术、信息技术、通用技术、心理健康教育、日语、俄语、特殊教育，共18个科目。</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四、报考流程</w:t>
      </w:r>
    </w:p>
    <w:p>
      <w:pPr>
        <w:shd w:val="clear" w:color="auto" w:fill="FFFFFF"/>
        <w:spacing w:line="660" w:lineRule="exact"/>
        <w:ind w:firstLine="640" w:firstLineChars="200"/>
        <w:rPr>
          <w:rFonts w:ascii="仿宋_GB2312" w:hAnsi="Calibri" w:eastAsia="仿宋_GB2312" w:cs="Times New Roman"/>
          <w:sz w:val="32"/>
          <w:szCs w:val="32"/>
        </w:rPr>
      </w:pPr>
      <w:r>
        <w:rPr>
          <w:rFonts w:hint="eastAsia" w:ascii="仿宋_GB2312" w:hAnsi="微软雅黑" w:eastAsia="仿宋_GB2312" w:cs="仿宋_GB2312"/>
          <w:color w:val="000000"/>
          <w:sz w:val="32"/>
          <w:szCs w:val="32"/>
          <w:shd w:val="clear" w:color="auto" w:fill="FFFFFF"/>
        </w:rPr>
        <w:t>（一）</w:t>
      </w:r>
      <w:r>
        <w:rPr>
          <w:rFonts w:hint="eastAsia" w:ascii="仿宋_GB2312" w:hAnsi="Calibri" w:eastAsia="仿宋_GB2312" w:cs="Times New Roman"/>
          <w:sz w:val="32"/>
          <w:szCs w:val="32"/>
        </w:rPr>
        <w:t>个人信息核对</w:t>
      </w:r>
    </w:p>
    <w:p>
      <w:pPr>
        <w:shd w:val="clear" w:color="auto" w:fill="FFFFFF"/>
        <w:spacing w:line="660" w:lineRule="exact"/>
        <w:ind w:firstLine="640" w:firstLineChars="200"/>
        <w:rPr>
          <w:rFonts w:ascii="仿宋_GB2312" w:hAnsi="微软雅黑" w:eastAsia="仿宋_GB2312" w:cs="仿宋_GB2312"/>
          <w:color w:val="000000"/>
          <w:sz w:val="32"/>
          <w:szCs w:val="32"/>
          <w:shd w:val="clear" w:color="auto" w:fill="FFFFFF"/>
        </w:rPr>
      </w:pPr>
      <w:r>
        <w:rPr>
          <w:rFonts w:hint="eastAsia" w:ascii="仿宋_GB2312" w:hAnsi="Calibri" w:eastAsia="仿宋_GB2312" w:cs="Times New Roman"/>
          <w:sz w:val="32"/>
          <w:szCs w:val="32"/>
        </w:rPr>
        <w:t>考生登陆“NTCE-中国教育考试网”（</w:t>
      </w:r>
      <w:r>
        <w:rPr>
          <w:rFonts w:ascii="仿宋_GB2312" w:hAnsi="Calibri" w:eastAsia="仿宋_GB2312" w:cs="Times New Roman"/>
          <w:sz w:val="32"/>
          <w:szCs w:val="32"/>
        </w:rPr>
        <w:t>http://ntce.neea.edu.cn</w:t>
      </w:r>
      <w:r>
        <w:rPr>
          <w:rFonts w:hint="eastAsia" w:ascii="仿宋_GB2312" w:hAnsi="Calibri" w:eastAsia="仿宋_GB2312" w:cs="Times New Roman"/>
          <w:sz w:val="32"/>
          <w:szCs w:val="32"/>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Times New Roman" w:eastAsia="仿宋_GB2312" w:cs="Times New Roman"/>
          <w:sz w:val="32"/>
          <w:szCs w:val="32"/>
        </w:rPr>
        <w:t>教师资格考试笔试报考机构办理更正手续。提交申请时间为</w:t>
      </w: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年4月</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日-</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日（仅工作日受理），逾期不予受理。考生可于4月1</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日起自行登陆“NTCE-中国教育考试网”查看变更结果，考试机构不另行通知。</w:t>
      </w:r>
    </w:p>
    <w:p>
      <w:pPr>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（二）网上报名</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网上报名时间：2024年</w:t>
      </w:r>
      <w:bookmarkStart w:id="0" w:name="_GoBack"/>
      <w:r>
        <w:rPr>
          <w:rFonts w:hint="eastAsia" w:ascii="仿宋_GB2312" w:hAnsi="微软雅黑" w:eastAsia="仿宋_GB2312" w:cs="仿宋_GB2312"/>
          <w:color w:val="000000"/>
          <w:kern w:val="0"/>
          <w:sz w:val="32"/>
          <w:szCs w:val="32"/>
          <w:shd w:val="clear" w:color="auto" w:fill="FFFFFF"/>
          <w:lang w:val="en-US" w:eastAsia="zh-CN" w:bidi="ar-SA"/>
        </w:rPr>
        <w:t>4月12日10：00-15日17:00</w:t>
      </w:r>
      <w:bookmarkEnd w:id="0"/>
      <w:r>
        <w:rPr>
          <w:rFonts w:hint="eastAsia" w:ascii="仿宋_GB2312" w:hAnsi="微软雅黑" w:eastAsia="仿宋_GB2312" w:cs="仿宋_GB2312"/>
          <w:color w:val="000000"/>
          <w:kern w:val="0"/>
          <w:sz w:val="32"/>
          <w:szCs w:val="32"/>
          <w:shd w:val="clear" w:color="auto" w:fill="FFFFFF"/>
          <w:lang w:val="en-US" w:eastAsia="zh-CN" w:bidi="ar-SA"/>
        </w:rPr>
        <w:t>。</w:t>
      </w: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符合面试报考条件的考生在报名时间内，登录“NTCE-中国教育考试网”按照栏目指引进行网上报名，准确填写面试类别、面试科目和面试考区等信息。报名时间截止后，报名系统将自动关闭，不再受理考生报名。</w:t>
      </w:r>
    </w:p>
    <w:p>
      <w:pPr>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内地考生可选择户籍所在地、居住地（须办理当地居住证且在有效期内）、就读学校所在地（仅限普通高等学校三年级及以上的全日制本科学生、毕业学年的全日制专科学生和全日制在读研究生，含</w:t>
      </w:r>
      <w:r>
        <w:rPr>
          <w:rFonts w:hint="default" w:ascii="Times New Roman" w:hAnsi="Times New Roman" w:eastAsia="仿宋_GB2312" w:cs="Times New Roman"/>
          <w:kern w:val="0"/>
          <w:sz w:val="32"/>
          <w:szCs w:val="24"/>
          <w:lang w:val="en-US" w:eastAsia="zh-CN" w:bidi="ar-SA"/>
        </w:rPr>
        <w:t>在内地就读的</w:t>
      </w:r>
      <w:r>
        <w:rPr>
          <w:rFonts w:hint="eastAsia" w:ascii="仿宋_GB2312" w:hAnsi="微软雅黑" w:eastAsia="仿宋_GB2312" w:cs="仿宋_GB2312"/>
          <w:color w:val="000000"/>
          <w:kern w:val="0"/>
          <w:sz w:val="32"/>
          <w:szCs w:val="32"/>
          <w:shd w:val="clear" w:color="auto" w:fill="FFFFFF"/>
          <w:lang w:val="en-US" w:eastAsia="zh-CN" w:bidi="ar-SA"/>
        </w:rPr>
        <w:t>港澳台学生）为报考考区。高校在校生可选择在户籍所在地或就读学校所在地报考。港澳台居民可选择居住地（</w:t>
      </w:r>
      <w:r>
        <w:rPr>
          <w:rFonts w:hint="default" w:ascii="Times New Roman" w:hAnsi="Times New Roman" w:eastAsia="仿宋_GB2312" w:cs="Times New Roman"/>
          <w:kern w:val="0"/>
          <w:sz w:val="32"/>
          <w:szCs w:val="24"/>
          <w:lang w:val="en-US" w:eastAsia="zh-CN" w:bidi="ar-SA"/>
        </w:rPr>
        <w:t>须办理</w:t>
      </w:r>
      <w:r>
        <w:rPr>
          <w:rFonts w:hint="default" w:ascii="Times New Roman" w:hAnsi="Times New Roman" w:eastAsia="仿宋_GB2312" w:cs="Times New Roman"/>
          <w:kern w:val="0"/>
          <w:sz w:val="32"/>
          <w:szCs w:val="32"/>
          <w:lang w:val="en-US" w:eastAsia="zh-CN" w:bidi="ar-SA"/>
        </w:rPr>
        <w:t>港澳台居民居住证</w:t>
      </w:r>
      <w:r>
        <w:rPr>
          <w:rFonts w:hint="default" w:ascii="Times New Roman" w:hAnsi="Times New Roman" w:eastAsia="仿宋_GB2312" w:cs="Times New Roman"/>
          <w:kern w:val="0"/>
          <w:sz w:val="32"/>
          <w:szCs w:val="24"/>
          <w:lang w:val="en-US" w:eastAsia="zh-CN" w:bidi="ar-SA"/>
        </w:rPr>
        <w:t>且在有效期内</w:t>
      </w:r>
      <w:r>
        <w:rPr>
          <w:rFonts w:hint="eastAsia" w:ascii="仿宋_GB2312" w:hAnsi="微软雅黑" w:eastAsia="仿宋_GB2312" w:cs="仿宋_GB2312"/>
          <w:color w:val="000000"/>
          <w:kern w:val="0"/>
          <w:sz w:val="32"/>
          <w:szCs w:val="32"/>
          <w:shd w:val="clear" w:color="auto" w:fill="FFFFFF"/>
          <w:lang w:val="en-US" w:eastAsia="zh-CN" w:bidi="ar-SA"/>
        </w:rPr>
        <w:t>）或教师资格考试笔试报考地为报考考区。</w:t>
      </w:r>
    </w:p>
    <w:p>
      <w:pPr>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w:t>
      </w:r>
    </w:p>
    <w:p>
      <w:pPr>
        <w:pStyle w:val="2"/>
        <w:rPr>
          <w:rFonts w:hint="eastAsia" w:ascii="仿宋_GB2312" w:hAnsi="微软雅黑" w:eastAsia="仿宋_GB2312" w:cs="仿宋_GB2312"/>
          <w:color w:val="000000"/>
          <w:kern w:val="0"/>
          <w:sz w:val="32"/>
          <w:szCs w:val="32"/>
          <w:shd w:val="clear" w:color="auto" w:fill="FFFFFF"/>
          <w:lang w:val="en-US" w:eastAsia="zh-CN" w:bidi="ar-SA"/>
        </w:rPr>
      </w:pPr>
    </w:p>
    <w:p>
      <w:pPr>
        <w:rPr>
          <w:rFonts w:hint="eastAsia" w:ascii="仿宋_GB2312" w:hAnsi="微软雅黑" w:eastAsia="仿宋_GB2312" w:cs="仿宋_GB2312"/>
          <w:color w:val="000000"/>
          <w:kern w:val="0"/>
          <w:sz w:val="32"/>
          <w:szCs w:val="32"/>
          <w:shd w:val="clear" w:color="auto" w:fill="FFFFFF"/>
          <w:lang w:val="en-US" w:eastAsia="zh-CN" w:bidi="ar-SA"/>
        </w:rPr>
      </w:pPr>
    </w:p>
    <w:p>
      <w:pPr>
        <w:pStyle w:val="2"/>
        <w:rPr>
          <w:lang w:val="en-US" w:eastAsia="zh-CN"/>
        </w:rPr>
      </w:pPr>
    </w:p>
    <w:p>
      <w:pPr>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　面试报名流程如下：</w:t>
      </w:r>
    </w:p>
    <w:p>
      <w:pPr>
        <w:widowControl/>
        <w:shd w:val="clear" w:color="auto" w:fill="FFFFFF"/>
        <w:wordWrap w:val="0"/>
        <w:spacing w:before="0" w:beforeAutospacing="0" w:after="0" w:afterAutospacing="0" w:line="450" w:lineRule="atLeast"/>
        <w:jc w:val="center"/>
        <w:rPr>
          <w:rFonts w:ascii="微软雅黑" w:hAnsi="微软雅黑" w:eastAsia="微软雅黑" w:cs="微软雅黑"/>
          <w:color w:val="000000"/>
          <w:kern w:val="0"/>
          <w:sz w:val="24"/>
          <w:szCs w:val="24"/>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drawing>
          <wp:inline distT="0" distB="0" distL="114300" distR="114300">
            <wp:extent cx="5233035" cy="6997065"/>
            <wp:effectExtent l="12700" t="12700" r="24765" b="13335"/>
            <wp:docPr id="3" name="图片 3" descr="中小学教师资格考试面试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小学教师资格考试面试流程图"/>
                    <pic:cNvPicPr>
                      <a:picLocks noChangeAspect="1"/>
                    </pic:cNvPicPr>
                  </pic:nvPicPr>
                  <pic:blipFill>
                    <a:blip r:embed="rId5"/>
                    <a:stretch>
                      <a:fillRect/>
                    </a:stretch>
                  </pic:blipFill>
                  <pic:spPr>
                    <a:xfrm>
                      <a:off x="0" y="0"/>
                      <a:ext cx="5233035" cy="6997065"/>
                    </a:xfrm>
                    <a:prstGeom prst="rect">
                      <a:avLst/>
                    </a:prstGeom>
                    <a:noFill/>
                    <a:ln w="12700" cap="flat" cmpd="sng">
                      <a:solidFill>
                        <a:srgbClr val="41719C"/>
                      </a:solidFill>
                      <a:prstDash val="solid"/>
                      <a:round/>
                      <a:headEnd type="none" w="med" len="med"/>
                      <a:tailEnd type="none" w="med" len="med"/>
                    </a:ln>
                  </pic:spPr>
                </pic:pic>
              </a:graphicData>
            </a:graphic>
          </wp:inline>
        </w:drawing>
      </w:r>
    </w:p>
    <w:p>
      <w:pPr>
        <w:widowControl/>
        <w:shd w:val="clear" w:color="auto" w:fill="FFFFFF"/>
        <w:wordWrap w:val="0"/>
        <w:spacing w:before="0" w:beforeAutospacing="0" w:after="0" w:afterAutospacing="0" w:line="660" w:lineRule="exact"/>
        <w:ind w:firstLine="640" w:firstLineChars="200"/>
        <w:jc w:val="both"/>
        <w:rPr>
          <w:rFonts w:hint="eastAsia" w:ascii="仿宋_GB2312" w:hAnsi="微软雅黑" w:eastAsia="仿宋_GB2312" w:cs="仿宋_GB2312"/>
          <w:color w:val="000000"/>
          <w:kern w:val="0"/>
          <w:sz w:val="32"/>
          <w:szCs w:val="32"/>
          <w:shd w:val="clear" w:color="auto" w:fill="FFFFFF"/>
          <w:lang w:val="en-US" w:eastAsia="zh-CN" w:bidi="ar-SA"/>
        </w:rPr>
      </w:pPr>
    </w:p>
    <w:p>
      <w:pPr>
        <w:pStyle w:val="2"/>
        <w:rPr>
          <w:rFonts w:hint="eastAsia"/>
          <w:lang w:val="en-US" w:eastAsia="zh-CN"/>
        </w:rPr>
      </w:pPr>
    </w:p>
    <w:p>
      <w:pPr>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kern w:val="0"/>
          <w:sz w:val="32"/>
          <w:szCs w:val="32"/>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（三）现场审核</w:t>
      </w:r>
    </w:p>
    <w:p>
      <w:pPr>
        <w:pStyle w:val="6"/>
        <w:widowControl/>
        <w:shd w:val="clear"/>
        <w:wordWrap w:val="0"/>
        <w:spacing w:before="0" w:beforeAutospacing="0" w:after="0" w:afterAutospacing="0" w:line="66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kern w:val="0"/>
          <w:sz w:val="32"/>
          <w:szCs w:val="32"/>
          <w:shd w:val="clear" w:color="auto" w:fill="FFFFFF"/>
          <w:lang w:val="en-US" w:eastAsia="zh-CN" w:bidi="ar-SA"/>
        </w:rPr>
        <w:t>　考生网上报名完成后</w:t>
      </w:r>
      <w:r>
        <w:rPr>
          <w:rFonts w:hint="eastAsia" w:ascii="仿宋_GB2312" w:hAnsi="微软雅黑" w:eastAsia="仿宋_GB2312" w:cs="仿宋_GB2312"/>
          <w:color w:val="000000" w:themeColor="text1"/>
          <w:sz w:val="32"/>
          <w:szCs w:val="32"/>
          <w:shd w:val="clear"/>
          <w14:textFill>
            <w14:solidFill>
              <w14:schemeClr w14:val="tx1"/>
            </w14:solidFill>
          </w14:textFill>
        </w:rPr>
        <w:t>，应持相关证明材料</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按照</w:t>
      </w:r>
      <w:r>
        <w:rPr>
          <w:rFonts w:hint="eastAsia" w:ascii="仿宋_GB2312" w:hAnsi="微软雅黑" w:eastAsia="仿宋_GB2312" w:cs="仿宋_GB2312"/>
          <w:color w:val="000000" w:themeColor="text1"/>
          <w:sz w:val="32"/>
          <w:szCs w:val="32"/>
          <w:shd w:val="clear"/>
          <w14:textFill>
            <w14:solidFill>
              <w14:schemeClr w14:val="tx1"/>
            </w14:solidFill>
          </w14:textFill>
        </w:rPr>
        <w:t>报考</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所在</w:t>
      </w:r>
      <w:r>
        <w:rPr>
          <w:rFonts w:hint="eastAsia" w:ascii="仿宋_GB2312" w:hAnsi="微软雅黑" w:eastAsia="仿宋_GB2312" w:cs="仿宋_GB2312"/>
          <w:color w:val="000000" w:themeColor="text1"/>
          <w:sz w:val="32"/>
          <w:szCs w:val="32"/>
          <w:shd w:val="clear"/>
          <w14:textFill>
            <w14:solidFill>
              <w14:schemeClr w14:val="tx1"/>
            </w14:solidFill>
          </w14:textFill>
        </w:rPr>
        <w:t>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区教育行政主管部门</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文件规定的时间和地点</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要求进行</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现场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审核。</w:t>
      </w:r>
      <w:r>
        <w:rPr>
          <w:rFonts w:hint="eastAsia" w:ascii="仿宋_GB2312" w:hAnsi="微软雅黑" w:eastAsia="仿宋_GB2312" w:cs="仿宋_GB2312"/>
          <w:color w:val="000000" w:themeColor="text1"/>
          <w:sz w:val="32"/>
          <w:szCs w:val="32"/>
          <w:shd w:val="clear"/>
          <w14:textFill>
            <w14:solidFill>
              <w14:schemeClr w14:val="tx1"/>
            </w14:solidFill>
          </w14:textFill>
        </w:rPr>
        <w:t>各区</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区教育行政主管部门</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w:t>
      </w:r>
      <w:r>
        <w:rPr>
          <w:rFonts w:hint="eastAsia" w:ascii="仿宋_GB2312" w:hAnsi="微软雅黑" w:eastAsia="仿宋_GB2312" w:cs="仿宋_GB2312"/>
          <w:color w:val="000000" w:themeColor="text1"/>
          <w:sz w:val="32"/>
          <w:szCs w:val="32"/>
          <w:shd w:val="clear"/>
          <w14:textFill>
            <w14:solidFill>
              <w14:schemeClr w14:val="tx1"/>
            </w14:solidFill>
          </w14:textFill>
        </w:rPr>
        <w:t>的</w:t>
      </w:r>
      <w:r>
        <w:rPr>
          <w:rFonts w:hint="eastAsia" w:ascii="仿宋_GB2312" w:hAnsi="微软雅黑" w:eastAsia="仿宋_GB2312" w:cs="仿宋_GB2312"/>
          <w:color w:val="000000" w:themeColor="text1"/>
          <w:sz w:val="32"/>
          <w:szCs w:val="32"/>
          <w:shd w:val="clear"/>
          <w:lang w:val="en-US" w:eastAsia="zh-CN"/>
          <w14:textFill>
            <w14:solidFill>
              <w14:schemeClr w14:val="tx1"/>
            </w14:solidFill>
          </w14:textFill>
        </w:rPr>
        <w:t>现场</w:t>
      </w:r>
      <w:r>
        <w:rPr>
          <w:rFonts w:hint="eastAsia" w:ascii="仿宋_GB2312" w:hAnsi="微软雅黑" w:eastAsia="仿宋_GB2312" w:cs="仿宋_GB2312"/>
          <w:color w:val="000000" w:themeColor="text1"/>
          <w:sz w:val="32"/>
          <w:szCs w:val="32"/>
          <w:shd w:val="clear"/>
          <w14:textFill>
            <w14:solidFill>
              <w14:schemeClr w14:val="tx1"/>
            </w14:solidFill>
          </w14:textFill>
        </w:rPr>
        <w:t>审核时间、地点、联系方式和受理范围</w:t>
      </w:r>
      <w:r>
        <w:rPr>
          <w:rFonts w:hint="eastAsia" w:ascii="仿宋_GB2312" w:hAnsi="微软雅黑" w:eastAsia="仿宋_GB2312" w:cs="仿宋_GB2312"/>
          <w:color w:val="000000" w:themeColor="text1"/>
          <w:sz w:val="32"/>
          <w:szCs w:val="32"/>
          <w:shd w:val="clear"/>
          <w:lang w:eastAsia="zh-CN"/>
          <w14:textFill>
            <w14:solidFill>
              <w14:schemeClr w14:val="tx1"/>
            </w14:solidFill>
          </w14:textFill>
        </w:rPr>
        <w:t>详</w:t>
      </w:r>
      <w:r>
        <w:rPr>
          <w:rFonts w:hint="eastAsia" w:ascii="仿宋_GB2312" w:hAnsi="微软雅黑" w:eastAsia="仿宋_GB2312" w:cs="仿宋_GB2312"/>
          <w:color w:val="000000" w:themeColor="text1"/>
          <w:sz w:val="32"/>
          <w:szCs w:val="32"/>
          <w:shd w:val="clear"/>
          <w14:textFill>
            <w14:solidFill>
              <w14:schemeClr w14:val="tx1"/>
            </w14:solidFill>
          </w14:textFill>
        </w:rPr>
        <w:t>见</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https://gdntce.gdedu.gov.cn/api/public/siteAudit/dismissed/examined/list?testTime=202401</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themeColor="text1"/>
          <w:sz w:val="32"/>
          <w:szCs w:val="32"/>
          <w:shd w:val="cle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请考生及时查阅报考地所在区级教育行政主管部门发布的考试信息。现场审核需提交以下证明材料。</w:t>
      </w:r>
    </w:p>
    <w:p>
      <w:pPr>
        <w:pStyle w:val="6"/>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1.在户籍所在地报考的考生：</w:t>
      </w:r>
    </w:p>
    <w:p>
      <w:pPr>
        <w:pStyle w:val="6"/>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（2）本人户口本或集体户口证明；</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（3）毕业证书（</w:t>
      </w:r>
      <w:r>
        <w:rPr>
          <w:rFonts w:hint="eastAsia" w:ascii="仿宋_GB2312" w:hAnsi="微软雅黑" w:eastAsia="仿宋_GB2312" w:cs="仿宋_GB2312"/>
          <w:b/>
          <w:bCs/>
          <w:color w:val="000000"/>
          <w:sz w:val="32"/>
          <w:szCs w:val="32"/>
          <w:shd w:val="clear" w:color="auto" w:fill="FFFFFF"/>
        </w:rPr>
        <w:t>在校生提交学生证或在籍学习证明</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2.在居住地报考的考生：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（2）居住证（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361" w:firstLineChars="113"/>
        <w:jc w:val="both"/>
        <w:rPr>
          <w:rFonts w:hint="eastAsia" w:ascii="微软雅黑" w:hAnsi="微软雅黑" w:eastAsia="仿宋_GB2312" w:cs="微软雅黑"/>
          <w:color w:val="000000"/>
          <w:sz w:val="32"/>
          <w:szCs w:val="32"/>
          <w:lang w:eastAsia="zh-CN"/>
        </w:rPr>
      </w:pPr>
      <w:r>
        <w:rPr>
          <w:rFonts w:hint="eastAsia" w:ascii="仿宋_GB2312" w:hAnsi="微软雅黑" w:eastAsia="仿宋_GB2312" w:cs="仿宋_GB2312"/>
          <w:color w:val="000000"/>
          <w:sz w:val="32"/>
          <w:szCs w:val="32"/>
          <w:shd w:val="clear" w:color="auto" w:fill="FFFFFF"/>
        </w:rPr>
        <w:t>　（3）毕业证书</w:t>
      </w:r>
      <w:r>
        <w:rPr>
          <w:rFonts w:hint="eastAsia" w:ascii="仿宋_GB2312" w:hAnsi="微软雅黑" w:eastAsia="仿宋_GB2312" w:cs="仿宋_GB2312"/>
          <w:color w:val="000000"/>
          <w:sz w:val="32"/>
          <w:szCs w:val="32"/>
          <w:shd w:val="clear" w:color="auto" w:fill="FFFFFF"/>
          <w:lang w:eastAsia="zh-CN"/>
        </w:rPr>
        <w:t>。</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3.在就读学校所在地报考的考生：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（1）居民身份证（</w:t>
      </w:r>
      <w:r>
        <w:rPr>
          <w:rFonts w:hint="eastAsia" w:ascii="仿宋_GB2312" w:hAnsi="微软雅黑" w:eastAsia="仿宋_GB2312" w:cs="仿宋_GB2312"/>
          <w:b/>
          <w:bCs/>
          <w:color w:val="000000"/>
          <w:sz w:val="32"/>
          <w:szCs w:val="32"/>
          <w:shd w:val="clear" w:color="auto" w:fill="FFFFFF"/>
        </w:rPr>
        <w:t>需在有效期内</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361" w:firstLineChars="113"/>
        <w:jc w:val="both"/>
        <w:rPr>
          <w:rFonts w:hint="eastAsia" w:ascii="微软雅黑" w:hAnsi="微软雅黑" w:eastAsia="仿宋_GB2312" w:cs="微软雅黑"/>
          <w:color w:val="000000"/>
          <w:sz w:val="32"/>
          <w:szCs w:val="32"/>
          <w:lang w:eastAsia="zh-CN"/>
        </w:rPr>
      </w:pPr>
      <w:r>
        <w:rPr>
          <w:rFonts w:hint="eastAsia" w:ascii="仿宋_GB2312" w:hAnsi="微软雅黑" w:eastAsia="仿宋_GB2312" w:cs="仿宋_GB2312"/>
          <w:color w:val="000000"/>
          <w:sz w:val="32"/>
          <w:szCs w:val="32"/>
          <w:shd w:val="clear" w:color="auto" w:fill="FFFFFF"/>
        </w:rPr>
        <w:t>　（2）学生证（</w:t>
      </w:r>
      <w:r>
        <w:rPr>
          <w:rFonts w:hint="eastAsia" w:ascii="仿宋_GB2312" w:hAnsi="微软雅黑" w:eastAsia="仿宋_GB2312" w:cs="仿宋_GB2312"/>
          <w:b/>
          <w:bCs/>
          <w:color w:val="000000"/>
          <w:sz w:val="32"/>
          <w:szCs w:val="32"/>
          <w:shd w:val="clear" w:color="auto" w:fill="FFFFFF"/>
        </w:rPr>
        <w:t>需有有效注册信息</w:t>
      </w:r>
      <w:r>
        <w:rPr>
          <w:rFonts w:hint="eastAsia" w:ascii="仿宋_GB2312" w:hAnsi="微软雅黑" w:eastAsia="仿宋_GB2312" w:cs="仿宋_GB2312"/>
          <w:color w:val="000000"/>
          <w:sz w:val="32"/>
          <w:szCs w:val="32"/>
          <w:shd w:val="clear" w:color="auto" w:fill="FFFFFF"/>
        </w:rPr>
        <w:t>）或学校学籍管理部门出具的在籍学习证明，具体样例见附件</w:t>
      </w:r>
      <w:r>
        <w:rPr>
          <w:rFonts w:hint="eastAsia" w:ascii="仿宋_GB2312" w:hAnsi="微软雅黑" w:eastAsia="仿宋_GB2312" w:cs="仿宋_GB2312"/>
          <w:color w:val="000000"/>
          <w:sz w:val="32"/>
          <w:szCs w:val="32"/>
          <w:shd w:val="clear" w:color="auto" w:fill="FFFFFF"/>
          <w:lang w:eastAsia="zh-CN"/>
        </w:rPr>
        <w:t>。</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4.港澳台地区的考生：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（1）港澳台居民居住证或港澳居民来往内地通行证或五年有效期台湾居民来往大陆通行证;</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w:t>
      </w:r>
      <w:r>
        <w:rPr>
          <w:rFonts w:hint="eastAsia" w:ascii="仿宋_GB2312" w:hAnsi="微软雅黑" w:eastAsia="仿宋_GB2312" w:cs="仿宋_GB2312"/>
          <w:color w:val="000000"/>
          <w:sz w:val="32"/>
          <w:szCs w:val="32"/>
          <w:shd w:val="clear" w:color="auto" w:fill="FFFFFF"/>
          <w:lang w:val="en-US" w:eastAsia="zh-CN"/>
        </w:rPr>
        <w:t>毕业</w:t>
      </w:r>
      <w:r>
        <w:rPr>
          <w:rFonts w:hint="eastAsia" w:ascii="仿宋_GB2312" w:hAnsi="微软雅黑" w:eastAsia="仿宋_GB2312" w:cs="仿宋_GB2312"/>
          <w:color w:val="000000"/>
          <w:sz w:val="32"/>
          <w:szCs w:val="32"/>
          <w:shd w:val="clear" w:color="auto" w:fill="FFFFFF"/>
        </w:rPr>
        <w:t>（学位）证书。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微软雅黑" w:eastAsia="仿宋_GB2312" w:cs="仿宋_GB2312"/>
          <w:color w:val="000000"/>
          <w:sz w:val="32"/>
          <w:szCs w:val="32"/>
          <w:shd w:val="clear" w:color="auto" w:fill="FFFFFF"/>
        </w:rPr>
        <w:t>　现场审核确认后，报名信息不得更改。未经现场审核的考生，视为自动放弃本次面试报名。</w:t>
      </w:r>
      <w:r>
        <w:rPr>
          <w:rFonts w:hint="eastAsia" w:ascii="仿宋_GB2312" w:hAnsi="仿宋_GB2312" w:eastAsia="仿宋_GB2312" w:cs="仿宋_GB2312"/>
          <w:sz w:val="32"/>
          <w:szCs w:val="32"/>
          <w:lang w:val="en-US" w:eastAsia="zh-CN"/>
        </w:rPr>
        <w:t>　</w:t>
      </w:r>
    </w:p>
    <w:p>
      <w:pPr>
        <w:pStyle w:val="6"/>
        <w:widowControl/>
        <w:shd w:val="clear" w:color="auto" w:fill="FFFFFF"/>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rPr>
        <w:t>　</w:t>
      </w:r>
      <w:r>
        <w:rPr>
          <w:rFonts w:hint="eastAsia" w:ascii="仿宋_GB2312" w:hAnsi="微软雅黑" w:eastAsia="仿宋_GB2312" w:cs="仿宋_GB2312"/>
          <w:color w:val="000000"/>
          <w:sz w:val="32"/>
          <w:szCs w:val="32"/>
          <w:shd w:val="clear" w:color="auto" w:fill="FFFFFF"/>
        </w:rPr>
        <w:t>（四）网上缴费</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网上缴费时间：202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年4月1</w:t>
      </w:r>
      <w:r>
        <w:rPr>
          <w:rFonts w:hint="eastAsia" w:ascii="仿宋_GB2312" w:hAnsi="微软雅黑" w:eastAsia="仿宋_GB2312" w:cs="仿宋_GB2312"/>
          <w:color w:val="000000"/>
          <w:sz w:val="32"/>
          <w:szCs w:val="32"/>
          <w:shd w:val="clear" w:color="auto" w:fill="FFFFFF"/>
          <w:lang w:val="en-US" w:eastAsia="zh-CN"/>
        </w:rPr>
        <w:t>7</w:t>
      </w:r>
      <w:r>
        <w:rPr>
          <w:rFonts w:hint="eastAsia" w:ascii="仿宋_GB2312" w:hAnsi="微软雅黑" w:eastAsia="仿宋_GB2312" w:cs="仿宋_GB2312"/>
          <w:color w:val="000000"/>
          <w:sz w:val="32"/>
          <w:szCs w:val="32"/>
          <w:shd w:val="clear" w:color="auto" w:fill="FFFFFF"/>
        </w:rPr>
        <w:t>日24:00前。</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考生通过现场审核后，须于4月1</w:t>
      </w:r>
      <w:r>
        <w:rPr>
          <w:rFonts w:hint="eastAsia" w:ascii="仿宋_GB2312" w:hAnsi="微软雅黑" w:eastAsia="仿宋_GB2312" w:cs="仿宋_GB2312"/>
          <w:color w:val="000000"/>
          <w:sz w:val="32"/>
          <w:szCs w:val="32"/>
          <w:shd w:val="clear" w:color="auto" w:fill="FFFFFF"/>
          <w:lang w:val="en-US" w:eastAsia="zh-CN"/>
        </w:rPr>
        <w:t>7</w:t>
      </w:r>
      <w:r>
        <w:rPr>
          <w:rFonts w:hint="eastAsia" w:ascii="仿宋_GB2312" w:hAnsi="微软雅黑" w:eastAsia="仿宋_GB2312" w:cs="仿宋_GB2312"/>
          <w:color w:val="000000"/>
          <w:sz w:val="32"/>
          <w:szCs w:val="32"/>
          <w:shd w:val="clear" w:color="auto" w:fill="FFFFFF"/>
        </w:rPr>
        <w:t>日24:00前登录“NTCE-中国教育考试网”进行网上缴费，支付成功后即为报名完成。现场审核通过但未在规定时间内缴费者视为自动放弃报名，逾期不再补缴。</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。面试费一旦缴纳后不予退费，请考生注意。</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（五）准考证打印</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准考证打印时间：完成报名的考生，202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年5月</w:t>
      </w:r>
      <w:r>
        <w:rPr>
          <w:rFonts w:hint="eastAsia" w:ascii="仿宋_GB2312" w:hAnsi="微软雅黑" w:eastAsia="仿宋_GB2312" w:cs="仿宋_GB2312"/>
          <w:color w:val="000000"/>
          <w:sz w:val="32"/>
          <w:szCs w:val="32"/>
          <w:shd w:val="clear" w:color="auto" w:fill="FFFFFF"/>
          <w:lang w:val="en-US" w:eastAsia="zh-CN"/>
        </w:rPr>
        <w:t>6</w:t>
      </w:r>
      <w:r>
        <w:rPr>
          <w:rFonts w:hint="eastAsia" w:ascii="仿宋_GB2312" w:hAnsi="微软雅黑" w:eastAsia="仿宋_GB2312" w:cs="仿宋_GB2312"/>
          <w:color w:val="000000"/>
          <w:sz w:val="32"/>
          <w:szCs w:val="32"/>
          <w:shd w:val="clear" w:color="auto" w:fill="FFFFFF"/>
        </w:rPr>
        <w:t>日至5月1</w:t>
      </w:r>
      <w:r>
        <w:rPr>
          <w:rFonts w:hint="eastAsia" w:ascii="仿宋_GB2312" w:hAnsi="微软雅黑" w:eastAsia="仿宋_GB2312" w:cs="仿宋_GB2312"/>
          <w:color w:val="000000"/>
          <w:sz w:val="32"/>
          <w:szCs w:val="32"/>
          <w:shd w:val="clear" w:color="auto" w:fill="FFFFFF"/>
          <w:lang w:val="en-US" w:eastAsia="zh-CN"/>
        </w:rPr>
        <w:t>2</w:t>
      </w:r>
      <w:r>
        <w:rPr>
          <w:rFonts w:hint="eastAsia" w:ascii="仿宋_GB2312" w:hAnsi="微软雅黑" w:eastAsia="仿宋_GB2312" w:cs="仿宋_GB2312"/>
          <w:color w:val="000000"/>
          <w:sz w:val="32"/>
          <w:szCs w:val="32"/>
          <w:shd w:val="clear" w:color="auto" w:fill="FFFFFF"/>
        </w:rPr>
        <w:t>日可以登录“NTCE-中国教育考试网”打印准考证。</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（六）面试</w:t>
      </w:r>
    </w:p>
    <w:p>
      <w:pPr>
        <w:pStyle w:val="6"/>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rPr>
        <w:t>　面试时间：202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年5月1</w:t>
      </w:r>
      <w:r>
        <w:rPr>
          <w:rFonts w:hint="eastAsia" w:ascii="仿宋_GB2312" w:hAnsi="微软雅黑" w:eastAsia="仿宋_GB2312" w:cs="仿宋_GB2312"/>
          <w:color w:val="000000"/>
          <w:sz w:val="32"/>
          <w:szCs w:val="32"/>
          <w:shd w:val="clear" w:color="auto" w:fill="FFFFFF"/>
          <w:lang w:val="en-US" w:eastAsia="zh-CN"/>
        </w:rPr>
        <w:t>1</w:t>
      </w:r>
      <w:r>
        <w:rPr>
          <w:rFonts w:hint="eastAsia" w:ascii="仿宋_GB2312" w:hAnsi="微软雅黑" w:eastAsia="仿宋_GB2312" w:cs="仿宋_GB2312"/>
          <w:color w:val="000000"/>
          <w:sz w:val="32"/>
          <w:szCs w:val="32"/>
          <w:shd w:val="clear" w:color="auto" w:fill="FFFFFF"/>
        </w:rPr>
        <w:t>日-1</w:t>
      </w:r>
      <w:r>
        <w:rPr>
          <w:rFonts w:hint="eastAsia" w:ascii="仿宋_GB2312" w:hAnsi="微软雅黑" w:eastAsia="仿宋_GB2312" w:cs="仿宋_GB2312"/>
          <w:color w:val="000000"/>
          <w:sz w:val="32"/>
          <w:szCs w:val="32"/>
          <w:shd w:val="clear" w:color="auto" w:fill="FFFFFF"/>
          <w:lang w:val="en-US" w:eastAsia="zh-CN"/>
        </w:rPr>
        <w:t>2</w:t>
      </w:r>
      <w:r>
        <w:rPr>
          <w:rFonts w:hint="eastAsia" w:ascii="仿宋_GB2312" w:hAnsi="微软雅黑" w:eastAsia="仿宋_GB2312" w:cs="仿宋_GB2312"/>
          <w:color w:val="000000"/>
          <w:sz w:val="32"/>
          <w:szCs w:val="32"/>
          <w:shd w:val="clear" w:color="auto" w:fill="FFFFFF"/>
        </w:rPr>
        <w:t>日（考生较多的考区可顺延考试时间</w:t>
      </w:r>
      <w:r>
        <w:rPr>
          <w:rFonts w:hint="eastAsia" w:ascii="仿宋_GB2312" w:hAnsi="微软雅黑" w:eastAsia="仿宋_GB2312" w:cs="仿宋_GB2312"/>
          <w:color w:val="000000"/>
          <w:sz w:val="32"/>
          <w:szCs w:val="32"/>
          <w:shd w:val="clear" w:color="auto" w:fill="FFFFFF"/>
          <w:lang w:val="en-US" w:eastAsia="zh-CN"/>
        </w:rPr>
        <w:t>。</w:t>
      </w:r>
    </w:p>
    <w:p>
      <w:pPr>
        <w:pStyle w:val="6"/>
        <w:widowControl/>
        <w:shd w:val="clear" w:color="auto" w:fill="FFFFFF"/>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考生应按准考证上注明的时间、考点和场次参加面试。考生须携带有效身份证件和准考证参加考试，请考生仔细阅读准考证上的说明。</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各类考生面试程序如下：</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第一类：</w:t>
      </w:r>
      <w:r>
        <w:rPr>
          <w:rFonts w:hint="eastAsia" w:ascii="仿宋_GB2312" w:hAnsi="微软雅黑" w:eastAsia="仿宋_GB2312" w:cs="仿宋_GB2312"/>
          <w:color w:val="000000"/>
          <w:sz w:val="32"/>
          <w:szCs w:val="32"/>
          <w:shd w:val="clear" w:color="auto" w:fill="FFFFFF"/>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2.备课。考生持试题清单、备课纸进入备课室，撰写教案（或活动演示方案）。备课时间20分钟。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3.回答规定问题。考生由工作人员引导进入指定面试室。考官从试题库中随机抽取2道规定问题，要求考生回答。时间5分钟左右。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4.试讲或演示。考生按准备的教案（或活动演示方案）进行试讲（或演示）。时间10分钟。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第二类：</w:t>
      </w:r>
      <w:r>
        <w:rPr>
          <w:rFonts w:hint="eastAsia" w:ascii="仿宋_GB2312" w:hAnsi="微软雅黑" w:eastAsia="仿宋_GB2312" w:cs="仿宋_GB2312"/>
          <w:color w:val="000000"/>
          <w:sz w:val="32"/>
          <w:szCs w:val="32"/>
          <w:shd w:val="clear" w:color="auto" w:fill="FFFFFF"/>
        </w:rPr>
        <w:t>报考小学</w:t>
      </w:r>
      <w:r>
        <w:rPr>
          <w:rFonts w:hint="eastAsia" w:ascii="仿宋_GB2312" w:hAnsi="微软雅黑" w:eastAsia="仿宋_GB2312" w:cs="仿宋_GB2312"/>
          <w:color w:val="000000"/>
          <w:sz w:val="32"/>
          <w:szCs w:val="32"/>
          <w:shd w:val="clear" w:color="auto" w:fill="FFFFFF"/>
          <w:lang w:val="en-US" w:eastAsia="zh-CN"/>
        </w:rPr>
        <w:t>的</w:t>
      </w:r>
      <w:r>
        <w:rPr>
          <w:rFonts w:hint="eastAsia" w:ascii="仿宋_GB2312" w:hAnsi="微软雅黑" w:eastAsia="仿宋_GB2312" w:cs="仿宋_GB2312"/>
          <w:color w:val="000000"/>
          <w:sz w:val="32"/>
          <w:szCs w:val="32"/>
          <w:shd w:val="clear" w:color="auto" w:fill="FFFFFF"/>
        </w:rPr>
        <w:t>心理健康教育、信息技术、小学全科、特殊教育，初中、高中、中职文化课</w:t>
      </w:r>
      <w:r>
        <w:rPr>
          <w:rFonts w:hint="eastAsia" w:ascii="仿宋_GB2312" w:hAnsi="微软雅黑" w:eastAsia="仿宋_GB2312" w:cs="仿宋_GB2312"/>
          <w:color w:val="000000"/>
          <w:sz w:val="32"/>
          <w:szCs w:val="32"/>
          <w:shd w:val="clear" w:color="auto" w:fill="FFFFFF"/>
          <w:lang w:val="en-US" w:eastAsia="zh-CN"/>
        </w:rPr>
        <w:t>的</w:t>
      </w:r>
      <w:r>
        <w:rPr>
          <w:rFonts w:hint="eastAsia" w:ascii="仿宋_GB2312" w:hAnsi="微软雅黑" w:eastAsia="仿宋_GB2312" w:cs="仿宋_GB2312"/>
          <w:color w:val="000000"/>
          <w:sz w:val="32"/>
          <w:szCs w:val="32"/>
          <w:shd w:val="clear" w:color="auto" w:fill="FFFFFF"/>
        </w:rPr>
        <w:t>心理健康教育、日语、俄语、特殊教育等科目教师资格：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2.备课。考生持试题卡、备课纸，进入备课室，撰写教案（或活动演示方案）。备课时间20分钟。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3.回答规定问题。考生由工作人员引导进入指定面试室。考官从“面试测评系统”中随机抽取2道规定问题，要求考生作答。时间5分钟左右。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4.试讲（演示）。考生按照准备的教案（或活动演示方案）进行试讲（或演示）。时间10分钟。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5.答辩。考官围绕学生试讲（或演示）内容进行提问，考生答辩。时间5分钟左右。“小学全科”考官适当提问非试讲科目的知识。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10"/>
          <w:rFonts w:hint="eastAsia" w:ascii="微软雅黑" w:hAnsi="微软雅黑" w:eastAsia="微软雅黑" w:cs="微软雅黑"/>
          <w:color w:val="000000"/>
          <w:sz w:val="32"/>
          <w:szCs w:val="32"/>
          <w:shd w:val="clear" w:color="auto" w:fill="FFFFFF"/>
        </w:rPr>
        <w:t>第三类：</w:t>
      </w:r>
      <w:r>
        <w:rPr>
          <w:rFonts w:hint="eastAsia" w:ascii="仿宋_GB2312" w:hAnsi="微软雅黑" w:eastAsia="仿宋_GB2312" w:cs="仿宋_GB2312"/>
          <w:color w:val="000000"/>
          <w:sz w:val="32"/>
          <w:szCs w:val="32"/>
          <w:shd w:val="clear" w:color="auto" w:fill="FFFFFF"/>
        </w:rPr>
        <w:t>报考中等职业学校专业课教师和实习指导教师的教师资格：</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2.备课。考生根据抽取的备课内容，进行教学设计。时间20分钟。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报考专业课教师的考生应按理论课或理实一体化课的要求，进行教学设计。报考实习指导教师的考生应按实验实训课的要求，进行教学设计。</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3.专业概述。考生针对拟任教专业进行专业概述。时间5分钟左右。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4.试讲（演示）。考生按照准备的教学方案进行试讲（或演示）。时间10分钟。</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（七）成绩公布</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面试成绩公布时间：202</w:t>
      </w:r>
      <w:r>
        <w:rPr>
          <w:rFonts w:hint="eastAsia" w:ascii="仿宋_GB2312" w:hAnsi="微软雅黑" w:eastAsia="仿宋_GB2312" w:cs="仿宋_GB2312"/>
          <w:color w:val="000000"/>
          <w:sz w:val="32"/>
          <w:szCs w:val="32"/>
          <w:shd w:val="clear" w:color="auto" w:fill="FFFFFF"/>
          <w:lang w:val="en-US" w:eastAsia="zh-CN"/>
        </w:rPr>
        <w:t>4</w:t>
      </w:r>
      <w:r>
        <w:rPr>
          <w:rFonts w:hint="eastAsia" w:ascii="仿宋_GB2312" w:hAnsi="微软雅黑" w:eastAsia="仿宋_GB2312" w:cs="仿宋_GB2312"/>
          <w:color w:val="000000"/>
          <w:sz w:val="32"/>
          <w:szCs w:val="32"/>
          <w:shd w:val="clear" w:color="auto" w:fill="FFFFFF"/>
        </w:rPr>
        <w:t>年6月14日。</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已通过中小学教师资格考试（笔试和面试）的考生，可自行登录“NTCE-中国教育考试网”下载、打印PDF版考试合格证明。</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五、考试违规处理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中小学教师资格考试属于《中华人民共和国刑法修正案》中“法律规定的国家考试”范畴，考生在考试过程中，违规作弊或提供虚假证明材料的，按照《国家教育考试违规处理办法》和《中华人民共和国刑法修正案》的规定接受有关部门的处理。</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六、其他注意事项</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（二）网上报名系统有判别考生笔试成绩是否具备面试报名资格的功能，考生只有在所报面试类别和科目对应的笔试各科目成绩均合格且在有效期内，才能在“NTCE-中国教育考试网”上进行面试报名。 </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（三）考生注册报名时上传的照片应为本人近6个月内的免冠正面证件照，此照片将用于准考证和考试合格证明，请考生按规定上传照片，如因照片上传不合格而影响本人考试的，责任由考生承担。</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（四）参加</w:t>
      </w:r>
      <w:r>
        <w:rPr>
          <w:rFonts w:hint="eastAsia" w:ascii="仿宋_GB2312" w:hAnsi="微软雅黑" w:eastAsia="仿宋_GB2312" w:cs="仿宋_GB2312"/>
          <w:color w:val="000000"/>
          <w:sz w:val="32"/>
          <w:szCs w:val="32"/>
          <w:shd w:val="clear" w:color="auto" w:fill="FFFFFF"/>
          <w:lang w:eastAsia="zh-CN"/>
        </w:rPr>
        <w:t>2024年上半年</w:t>
      </w:r>
      <w:r>
        <w:rPr>
          <w:rFonts w:hint="eastAsia" w:ascii="仿宋_GB2312" w:hAnsi="微软雅黑" w:eastAsia="仿宋_GB2312" w:cs="仿宋_GB2312"/>
          <w:color w:val="000000"/>
          <w:sz w:val="32"/>
          <w:szCs w:val="32"/>
          <w:shd w:val="clear" w:color="auto" w:fill="FFFFFF"/>
        </w:rPr>
        <w:t>之前全国中小学教师资格考试笔试成绩合格的考生，在面试报名时需要重新进行注册和填报个人信息，重新注册操作不影响考生的面试报名资格。参加</w:t>
      </w:r>
      <w:r>
        <w:rPr>
          <w:rFonts w:hint="eastAsia" w:ascii="仿宋_GB2312" w:hAnsi="微软雅黑" w:eastAsia="仿宋_GB2312" w:cs="仿宋_GB2312"/>
          <w:color w:val="000000"/>
          <w:sz w:val="32"/>
          <w:szCs w:val="32"/>
          <w:shd w:val="clear" w:color="auto" w:fill="FFFFFF"/>
          <w:lang w:eastAsia="zh-CN"/>
        </w:rPr>
        <w:t>2024年上半年</w:t>
      </w:r>
      <w:r>
        <w:rPr>
          <w:rFonts w:hint="eastAsia" w:ascii="仿宋_GB2312" w:hAnsi="微软雅黑" w:eastAsia="仿宋_GB2312" w:cs="仿宋_GB2312"/>
          <w:color w:val="000000"/>
          <w:sz w:val="32"/>
          <w:szCs w:val="32"/>
          <w:shd w:val="clear" w:color="auto" w:fill="FFFFFF"/>
        </w:rPr>
        <w:t>笔试考试的考生不用重新注册。</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（五）考生忘记注册密码可通过以下途径重置：</w:t>
      </w:r>
    </w:p>
    <w:p>
      <w:pPr>
        <w:pStyle w:val="6"/>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1. 如果考生手机号未更换，请通过短信获取密码。考生可通过报名注册时所填写的手机号码短信获取密码。</w:t>
      </w:r>
    </w:p>
    <w:p>
      <w:pPr>
        <w:pStyle w:val="6"/>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如收不到短信，可在工作时间内拨打短信专属客服电话：010-82345677。</w:t>
      </w:r>
    </w:p>
    <w:p>
      <w:pPr>
        <w:pStyle w:val="6"/>
        <w:widowControl/>
        <w:shd w:val="clear" w:color="auto" w:fill="FFFFFF"/>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　2. 如果考生手机号已更换，请先人工申请修改手机号。</w:t>
      </w:r>
    </w:p>
    <w:p>
      <w:pPr>
        <w:pStyle w:val="6"/>
        <w:widowControl/>
        <w:shd w:val="clear" w:color="auto" w:fill="FFFFFF"/>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如有疑问，考生可在工作时间内通过拨打教育部考试中心客服电话进行咨询（客服电话010-82345677）。</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（七）更多中小教师资格考试面试相关信息，敬请关注“NTCE-中国教育考试网”，广东省教育厅网站和广东省教育厅官方微信（广东教育）。如有疑问可拨打当地面试机构咨询电话，广东省各面试机构联系方式见</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lang w:val="en-US" w:eastAsia="zh-CN"/>
        </w:rPr>
        <w:t>https://gdntce.gdedu.gov.cn/api/public/siteAudit/dismissed/examined/list?testTime=202401</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w:t>
      </w:r>
    </w:p>
    <w:p>
      <w:pPr>
        <w:pStyle w:val="6"/>
        <w:widowControl/>
        <w:shd w:val="clear" w:color="auto" w:fill="FFFFFF"/>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rPr>
      </w:pPr>
    </w:p>
    <w:p>
      <w:pPr>
        <w:keepNext w:val="0"/>
        <w:keepLines w:val="0"/>
        <w:pageBreakBefore w:val="0"/>
        <w:shd w:val="clear"/>
        <w:kinsoku/>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shd w:val="clear"/>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r>
        <w:rPr>
          <w:rFonts w:hint="eastAsia" w:ascii="仿宋_GB2312" w:hAnsi="仿宋_GB2312" w:eastAsia="仿宋_GB2312" w:cs="仿宋_GB2312"/>
          <w:i w:val="0"/>
          <w:iCs w:val="0"/>
          <w:caps w:val="0"/>
          <w:color w:val="000000"/>
          <w:spacing w:val="0"/>
          <w:sz w:val="32"/>
          <w:szCs w:val="32"/>
          <w:shd w:val="clear"/>
        </w:rPr>
        <w:t>　</w:t>
      </w:r>
      <w:r>
        <w:rPr>
          <w:rFonts w:hint="eastAsia" w:ascii="仿宋_GB2312" w:hAnsi="仿宋_GB2312" w:eastAsia="仿宋_GB2312" w:cs="仿宋_GB2312"/>
          <w:i w:val="0"/>
          <w:iCs w:val="0"/>
          <w:caps w:val="0"/>
          <w:color w:val="0000FF"/>
          <w:spacing w:val="0"/>
          <w:sz w:val="32"/>
          <w:szCs w:val="32"/>
          <w:shd w:val="cle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p>
    <w:p>
      <w:pPr>
        <w:keepNext w:val="0"/>
        <w:keepLines w:val="0"/>
        <w:pageBreakBefore w:val="0"/>
        <w:shd w:val="clear"/>
        <w:kinsoku/>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附件</w:t>
      </w:r>
      <w:r>
        <w:rPr>
          <w:rFonts w:hint="eastAsia" w:ascii="仿宋_GB2312" w:hAnsi="仿宋_GB2312" w:eastAsia="仿宋_GB2312" w:cs="仿宋_GB2312"/>
          <w:kern w:val="0"/>
          <w:sz w:val="32"/>
          <w:szCs w:val="32"/>
          <w:shd w:val="clear"/>
          <w:lang w:val="en-US" w:eastAsia="zh-CN"/>
        </w:rPr>
        <w:t xml:space="preserve">  </w:t>
      </w:r>
      <w:r>
        <w:rPr>
          <w:rFonts w:hint="eastAsia" w:ascii="仿宋_GB2312" w:hAnsi="仿宋_GB2312" w:eastAsia="仿宋_GB2312" w:cs="仿宋_GB2312"/>
          <w:kern w:val="0"/>
          <w:sz w:val="32"/>
          <w:szCs w:val="32"/>
          <w:shd w:val="clear"/>
        </w:rPr>
        <w:t>学籍证明（样例）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shd w:val="clear"/>
        </w:rPr>
      </w:pPr>
    </w:p>
    <w:p>
      <w:pPr>
        <w:pStyle w:val="2"/>
        <w:rPr>
          <w:rFonts w:hint="eastAsia" w:ascii="仿宋_GB2312" w:hAnsi="仿宋_GB2312" w:eastAsia="仿宋_GB2312" w:cs="仿宋_GB2312"/>
          <w:kern w:val="0"/>
          <w:sz w:val="32"/>
          <w:szCs w:val="32"/>
          <w:shd w:val="clear"/>
        </w:rPr>
      </w:pPr>
    </w:p>
    <w:p>
      <w:pPr>
        <w:rPr>
          <w:rFonts w:hint="eastAsia"/>
        </w:rPr>
      </w:pPr>
    </w:p>
    <w:p>
      <w:pPr>
        <w:keepNext w:val="0"/>
        <w:keepLines w:val="0"/>
        <w:pageBreakBefore w:val="0"/>
        <w:shd w:val="clear"/>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佛山市教育局</w:t>
      </w:r>
    </w:p>
    <w:p>
      <w:pPr>
        <w:keepNext w:val="0"/>
        <w:keepLines w:val="0"/>
        <w:pageBreakBefore w:val="0"/>
        <w:shd w:val="clear"/>
        <w:kinsoku/>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shd w:val="cle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shd w:val="clear"/>
        </w:rPr>
        <w:t>20</w:t>
      </w:r>
      <w:r>
        <w:rPr>
          <w:rFonts w:hint="eastAsia" w:ascii="仿宋_GB2312" w:hAnsi="仿宋_GB2312" w:eastAsia="仿宋_GB2312" w:cs="仿宋_GB2312"/>
          <w:sz w:val="32"/>
          <w:szCs w:val="32"/>
          <w:shd w:val="clear"/>
          <w:lang w:val="en-US" w:eastAsia="zh-CN"/>
        </w:rPr>
        <w:t>24</w:t>
      </w:r>
      <w:r>
        <w:rPr>
          <w:rFonts w:hint="eastAsia" w:ascii="仿宋_GB2312" w:hAnsi="仿宋_GB2312" w:eastAsia="仿宋_GB2312" w:cs="仿宋_GB2312"/>
          <w:sz w:val="32"/>
          <w:szCs w:val="32"/>
          <w:shd w:val="clear"/>
        </w:rPr>
        <w:t>年</w:t>
      </w:r>
      <w:r>
        <w:rPr>
          <w:rFonts w:hint="eastAsia" w:ascii="仿宋_GB2312" w:hAnsi="仿宋_GB2312" w:eastAsia="仿宋_GB2312" w:cs="仿宋_GB2312"/>
          <w:sz w:val="32"/>
          <w:szCs w:val="32"/>
          <w:shd w:val="clear"/>
          <w:lang w:val="en-US" w:eastAsia="zh-CN"/>
        </w:rPr>
        <w:t>4</w:t>
      </w:r>
      <w:r>
        <w:rPr>
          <w:rFonts w:hint="eastAsia" w:ascii="仿宋_GB2312" w:hAnsi="仿宋_GB2312" w:eastAsia="仿宋_GB2312" w:cs="仿宋_GB2312"/>
          <w:sz w:val="32"/>
          <w:szCs w:val="32"/>
          <w:shd w:val="clear"/>
        </w:rPr>
        <w:t xml:space="preserve">月 </w:t>
      </w:r>
      <w:r>
        <w:rPr>
          <w:rFonts w:hint="eastAsia" w:ascii="仿宋_GB2312" w:hAnsi="仿宋_GB2312" w:eastAsia="仿宋_GB2312" w:cs="仿宋_GB2312"/>
          <w:sz w:val="32"/>
          <w:szCs w:val="32"/>
          <w:shd w:val="clear"/>
          <w:lang w:val="en-US" w:eastAsia="zh-CN"/>
        </w:rPr>
        <w:t>2</w:t>
      </w:r>
      <w:r>
        <w:rPr>
          <w:rFonts w:hint="eastAsia" w:ascii="仿宋_GB2312" w:hAnsi="仿宋_GB2312" w:eastAsia="仿宋_GB2312" w:cs="仿宋_GB2312"/>
          <w:sz w:val="32"/>
          <w:szCs w:val="32"/>
          <w:shd w:val="clear"/>
        </w:rPr>
        <w:t xml:space="preserve"> 日</w:t>
      </w:r>
    </w:p>
    <w:p>
      <w:pPr>
        <w:rPr>
          <w:rFonts w:ascii="黑体" w:hAnsi="黑体" w:eastAsia="黑体"/>
          <w:sz w:val="32"/>
          <w:szCs w:val="32"/>
        </w:rPr>
      </w:pPr>
      <w:r>
        <w:rPr>
          <w:rFonts w:hint="eastAsia" w:ascii="黑体" w:hAnsi="黑体" w:eastAsia="黑体"/>
          <w:sz w:val="32"/>
          <w:szCs w:val="32"/>
        </w:rPr>
        <w:t>附件</w:t>
      </w:r>
    </w:p>
    <w:p>
      <w:pPr>
        <w:pStyle w:val="6"/>
        <w:widowControl/>
        <w:wordWrap w:val="0"/>
        <w:spacing w:before="0" w:beforeAutospacing="0" w:after="0" w:afterAutospacing="0" w:line="315" w:lineRule="atLeast"/>
        <w:jc w:val="center"/>
        <w:rPr>
          <w:rFonts w:hint="eastAsia" w:ascii="仿宋_GB2312" w:hAnsi="微软雅黑" w:eastAsia="仿宋_GB2312" w:cs="仿宋_GB2312"/>
        </w:rPr>
      </w:pPr>
    </w:p>
    <w:p>
      <w:pPr>
        <w:pStyle w:val="6"/>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6"/>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6"/>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6"/>
        <w:widowControl/>
        <w:wordWrap w:val="0"/>
        <w:spacing w:before="0" w:beforeAutospacing="0" w:after="0" w:afterAutospacing="0" w:line="315" w:lineRule="atLeast"/>
        <w:jc w:val="both"/>
        <w:rPr>
          <w:rFonts w:ascii="微软雅黑" w:hAnsi="微软雅黑" w:eastAsia="微软雅黑" w:cs="微软雅黑"/>
        </w:rPr>
      </w:pP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6"/>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6"/>
        <w:widowControl/>
        <w:wordWrap w:val="0"/>
        <w:spacing w:before="0" w:beforeAutospacing="0" w:after="0" w:afterAutospacing="0" w:line="450" w:lineRule="atLeast"/>
        <w:rPr>
          <w:rFonts w:ascii="微软雅黑" w:hAnsi="微软雅黑" w:eastAsia="微软雅黑" w:cs="微软雅黑"/>
        </w:rPr>
      </w:pPr>
    </w:p>
    <w:p/>
    <w:p>
      <w:pPr>
        <w:shd w:val="clear"/>
        <w:rPr>
          <w:shd w:val="clear"/>
        </w:rPr>
      </w:pP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2522DDA"/>
    <w:rsid w:val="033933D6"/>
    <w:rsid w:val="043D3227"/>
    <w:rsid w:val="04533824"/>
    <w:rsid w:val="045738DF"/>
    <w:rsid w:val="048B7202"/>
    <w:rsid w:val="0498217E"/>
    <w:rsid w:val="051C4DC9"/>
    <w:rsid w:val="05504CA9"/>
    <w:rsid w:val="05745A5A"/>
    <w:rsid w:val="05E847BB"/>
    <w:rsid w:val="063762D7"/>
    <w:rsid w:val="06533E08"/>
    <w:rsid w:val="06721621"/>
    <w:rsid w:val="069F6C6D"/>
    <w:rsid w:val="06B050AF"/>
    <w:rsid w:val="0702568C"/>
    <w:rsid w:val="082D26A6"/>
    <w:rsid w:val="09184D77"/>
    <w:rsid w:val="09731C0E"/>
    <w:rsid w:val="0A2F3646"/>
    <w:rsid w:val="0B676BC5"/>
    <w:rsid w:val="0B767AC6"/>
    <w:rsid w:val="0BAC05B3"/>
    <w:rsid w:val="0BEB1CF7"/>
    <w:rsid w:val="0C7F6CEF"/>
    <w:rsid w:val="0CBF3F49"/>
    <w:rsid w:val="0D177805"/>
    <w:rsid w:val="0D6B5D9E"/>
    <w:rsid w:val="0DBC4434"/>
    <w:rsid w:val="0F2D587E"/>
    <w:rsid w:val="0F5A1D8D"/>
    <w:rsid w:val="10574FC5"/>
    <w:rsid w:val="13126856"/>
    <w:rsid w:val="162D30A8"/>
    <w:rsid w:val="174014F7"/>
    <w:rsid w:val="17811417"/>
    <w:rsid w:val="17BC143F"/>
    <w:rsid w:val="17F04C1C"/>
    <w:rsid w:val="185E0B92"/>
    <w:rsid w:val="18FA248A"/>
    <w:rsid w:val="19252E36"/>
    <w:rsid w:val="19FB5C1E"/>
    <w:rsid w:val="1A271BF7"/>
    <w:rsid w:val="1A71349A"/>
    <w:rsid w:val="1A8B4F92"/>
    <w:rsid w:val="1B730595"/>
    <w:rsid w:val="1CDD48FE"/>
    <w:rsid w:val="1E23732D"/>
    <w:rsid w:val="1E5C0651"/>
    <w:rsid w:val="1EDD69C8"/>
    <w:rsid w:val="1F6E461D"/>
    <w:rsid w:val="1FA86D80"/>
    <w:rsid w:val="1FD31DC3"/>
    <w:rsid w:val="1FDF65AE"/>
    <w:rsid w:val="21157D0B"/>
    <w:rsid w:val="214A21CF"/>
    <w:rsid w:val="215B41C8"/>
    <w:rsid w:val="21BB54E6"/>
    <w:rsid w:val="21E05536"/>
    <w:rsid w:val="22C24A14"/>
    <w:rsid w:val="23287C3C"/>
    <w:rsid w:val="237C4249"/>
    <w:rsid w:val="242642DB"/>
    <w:rsid w:val="24692BAA"/>
    <w:rsid w:val="249F6523"/>
    <w:rsid w:val="24DD745E"/>
    <w:rsid w:val="252A08AA"/>
    <w:rsid w:val="25A06B7C"/>
    <w:rsid w:val="25A45DD1"/>
    <w:rsid w:val="27284379"/>
    <w:rsid w:val="286B4421"/>
    <w:rsid w:val="295377DC"/>
    <w:rsid w:val="2AB24CB5"/>
    <w:rsid w:val="2ABA37DD"/>
    <w:rsid w:val="2DA53CC3"/>
    <w:rsid w:val="2E6A3190"/>
    <w:rsid w:val="2EA45591"/>
    <w:rsid w:val="2EE203F7"/>
    <w:rsid w:val="2FB36551"/>
    <w:rsid w:val="2FF424BA"/>
    <w:rsid w:val="306930ED"/>
    <w:rsid w:val="308A145D"/>
    <w:rsid w:val="308F13B7"/>
    <w:rsid w:val="30D3442A"/>
    <w:rsid w:val="30F62060"/>
    <w:rsid w:val="338378A7"/>
    <w:rsid w:val="33AC6963"/>
    <w:rsid w:val="33D00590"/>
    <w:rsid w:val="340C2973"/>
    <w:rsid w:val="344F68DF"/>
    <w:rsid w:val="34B67588"/>
    <w:rsid w:val="34EC3169"/>
    <w:rsid w:val="35092087"/>
    <w:rsid w:val="35C43EC2"/>
    <w:rsid w:val="374F5428"/>
    <w:rsid w:val="3766258F"/>
    <w:rsid w:val="37874A66"/>
    <w:rsid w:val="383820E9"/>
    <w:rsid w:val="3A286675"/>
    <w:rsid w:val="3BE80222"/>
    <w:rsid w:val="3CF360EC"/>
    <w:rsid w:val="3D1E66D3"/>
    <w:rsid w:val="3D550DAB"/>
    <w:rsid w:val="3DDC47CD"/>
    <w:rsid w:val="3E326C14"/>
    <w:rsid w:val="3F240124"/>
    <w:rsid w:val="3FA5067B"/>
    <w:rsid w:val="4073454C"/>
    <w:rsid w:val="4153163B"/>
    <w:rsid w:val="41772AF5"/>
    <w:rsid w:val="43083E06"/>
    <w:rsid w:val="4354016F"/>
    <w:rsid w:val="43BC1AA0"/>
    <w:rsid w:val="4411433C"/>
    <w:rsid w:val="4501722F"/>
    <w:rsid w:val="45360502"/>
    <w:rsid w:val="45742080"/>
    <w:rsid w:val="45B74CE9"/>
    <w:rsid w:val="46080375"/>
    <w:rsid w:val="46A85286"/>
    <w:rsid w:val="471E13D4"/>
    <w:rsid w:val="480703C9"/>
    <w:rsid w:val="493B1B49"/>
    <w:rsid w:val="4A9170E5"/>
    <w:rsid w:val="4B4D0D77"/>
    <w:rsid w:val="4CDF47AB"/>
    <w:rsid w:val="4D603277"/>
    <w:rsid w:val="4DC74698"/>
    <w:rsid w:val="4E090BC5"/>
    <w:rsid w:val="4E796ACA"/>
    <w:rsid w:val="500B207E"/>
    <w:rsid w:val="50A03DAD"/>
    <w:rsid w:val="50BC2EB9"/>
    <w:rsid w:val="5197226B"/>
    <w:rsid w:val="51AD660D"/>
    <w:rsid w:val="51E754ED"/>
    <w:rsid w:val="523555EC"/>
    <w:rsid w:val="53167E61"/>
    <w:rsid w:val="54A00508"/>
    <w:rsid w:val="54F033B0"/>
    <w:rsid w:val="55413F6A"/>
    <w:rsid w:val="559D6882"/>
    <w:rsid w:val="55D32949"/>
    <w:rsid w:val="561E33B7"/>
    <w:rsid w:val="56DA2CED"/>
    <w:rsid w:val="57B30914"/>
    <w:rsid w:val="588D6857"/>
    <w:rsid w:val="5898534D"/>
    <w:rsid w:val="595C014B"/>
    <w:rsid w:val="59743E9A"/>
    <w:rsid w:val="5A1E3C9C"/>
    <w:rsid w:val="5A995D31"/>
    <w:rsid w:val="5A9C7E7A"/>
    <w:rsid w:val="5BE63323"/>
    <w:rsid w:val="5D612CC1"/>
    <w:rsid w:val="5FDB72AE"/>
    <w:rsid w:val="6028552D"/>
    <w:rsid w:val="6101565A"/>
    <w:rsid w:val="61660B96"/>
    <w:rsid w:val="61B70A0E"/>
    <w:rsid w:val="62575797"/>
    <w:rsid w:val="629E16C0"/>
    <w:rsid w:val="62F51069"/>
    <w:rsid w:val="6308370D"/>
    <w:rsid w:val="650B3FD7"/>
    <w:rsid w:val="65297D03"/>
    <w:rsid w:val="65457634"/>
    <w:rsid w:val="66123504"/>
    <w:rsid w:val="66705296"/>
    <w:rsid w:val="67165330"/>
    <w:rsid w:val="6757771A"/>
    <w:rsid w:val="68C12D40"/>
    <w:rsid w:val="695A39B3"/>
    <w:rsid w:val="6A5E5EC5"/>
    <w:rsid w:val="6AA6318F"/>
    <w:rsid w:val="6B416685"/>
    <w:rsid w:val="6B7F6169"/>
    <w:rsid w:val="6BA44A18"/>
    <w:rsid w:val="6D850E3D"/>
    <w:rsid w:val="6E5D529D"/>
    <w:rsid w:val="6E9B2B83"/>
    <w:rsid w:val="6F2F0E79"/>
    <w:rsid w:val="7030429F"/>
    <w:rsid w:val="703603A6"/>
    <w:rsid w:val="70B64178"/>
    <w:rsid w:val="7103420A"/>
    <w:rsid w:val="71675002"/>
    <w:rsid w:val="71A05942"/>
    <w:rsid w:val="71DE1A35"/>
    <w:rsid w:val="73635594"/>
    <w:rsid w:val="73DE36BA"/>
    <w:rsid w:val="74754AAA"/>
    <w:rsid w:val="7491758B"/>
    <w:rsid w:val="754D72B2"/>
    <w:rsid w:val="762F1CF6"/>
    <w:rsid w:val="777B135B"/>
    <w:rsid w:val="77E757C4"/>
    <w:rsid w:val="783532AA"/>
    <w:rsid w:val="79DB277C"/>
    <w:rsid w:val="7BDB71E6"/>
    <w:rsid w:val="7C0456E2"/>
    <w:rsid w:val="7C3F58E5"/>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5"/>
    <w:autoRedefine/>
    <w:unhideWhenUsed/>
    <w:qFormat/>
    <w:uiPriority w:val="99"/>
    <w:rPr>
      <w:sz w:val="18"/>
      <w:szCs w:val="18"/>
    </w:rPr>
  </w:style>
  <w:style w:type="paragraph" w:styleId="4">
    <w:name w:val="footer"/>
    <w:basedOn w:val="1"/>
    <w:link w:val="17"/>
    <w:autoRedefine/>
    <w:unhideWhenUsed/>
    <w:qFormat/>
    <w:uiPriority w:val="99"/>
    <w:pPr>
      <w:tabs>
        <w:tab w:val="center" w:pos="4153"/>
        <w:tab w:val="right" w:pos="8306"/>
      </w:tabs>
      <w:snapToGrid w:val="0"/>
      <w:jc w:val="left"/>
    </w:pPr>
    <w:rPr>
      <w:sz w:val="18"/>
      <w:szCs w:val="18"/>
    </w:rPr>
  </w:style>
  <w:style w:type="paragraph" w:styleId="5">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0"/>
    <w:pPr>
      <w:spacing w:before="100" w:beforeAutospacing="1" w:after="100" w:afterAutospacing="1"/>
      <w:jc w:val="left"/>
    </w:pPr>
    <w:rPr>
      <w:rFonts w:cs="Times New Roman"/>
      <w:kern w:val="0"/>
      <w:sz w:val="24"/>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unhideWhenUsed/>
    <w:qFormat/>
    <w:uiPriority w:val="99"/>
    <w:rPr>
      <w:color w:val="0000FF"/>
      <w:u w:val="single"/>
    </w:rPr>
  </w:style>
  <w:style w:type="paragraph" w:customStyle="1" w:styleId="13">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autoRedefine/>
    <w:semiHidden/>
    <w:qFormat/>
    <w:uiPriority w:val="99"/>
    <w:rPr>
      <w:sz w:val="18"/>
      <w:szCs w:val="18"/>
    </w:rPr>
  </w:style>
  <w:style w:type="character" w:customStyle="1" w:styleId="16">
    <w:name w:val="页眉 Char"/>
    <w:basedOn w:val="9"/>
    <w:link w:val="5"/>
    <w:autoRedefine/>
    <w:qFormat/>
    <w:uiPriority w:val="99"/>
    <w:rPr>
      <w:rFonts w:asciiTheme="minorHAnsi" w:hAnsiTheme="minorHAnsi" w:eastAsiaTheme="minorEastAsia" w:cstheme="minorBidi"/>
      <w:kern w:val="2"/>
      <w:sz w:val="18"/>
      <w:szCs w:val="18"/>
    </w:rPr>
  </w:style>
  <w:style w:type="character" w:customStyle="1" w:styleId="17">
    <w:name w:val="页脚 Char"/>
    <w:basedOn w:val="9"/>
    <w:link w:val="4"/>
    <w:autoRedefine/>
    <w:qFormat/>
    <w:uiPriority w:val="99"/>
    <w:rPr>
      <w:rFonts w:asciiTheme="minorHAnsi" w:hAnsiTheme="minorHAnsi" w:eastAsiaTheme="minorEastAsia" w:cstheme="minorBidi"/>
      <w:kern w:val="2"/>
      <w:sz w:val="18"/>
      <w:szCs w:val="18"/>
    </w:rPr>
  </w:style>
  <w:style w:type="character" w:customStyle="1" w:styleId="18">
    <w:name w:val="font31"/>
    <w:basedOn w:val="9"/>
    <w:autoRedefine/>
    <w:qFormat/>
    <w:uiPriority w:val="0"/>
    <w:rPr>
      <w:rFonts w:hint="eastAsia" w:ascii="宋体" w:hAnsi="宋体" w:eastAsia="宋体"/>
      <w:color w:val="000000"/>
      <w:sz w:val="20"/>
      <w:szCs w:val="20"/>
      <w:u w:val="none"/>
    </w:rPr>
  </w:style>
  <w:style w:type="character" w:customStyle="1" w:styleId="19">
    <w:name w:val="font21"/>
    <w:basedOn w:val="9"/>
    <w:autoRedefine/>
    <w:qFormat/>
    <w:uiPriority w:val="0"/>
    <w:rPr>
      <w:rFonts w:hint="default" w:ascii="Arial" w:hAnsi="Arial" w:cs="Arial"/>
      <w:color w:val="000000"/>
      <w:sz w:val="20"/>
      <w:szCs w:val="20"/>
      <w:u w:val="none"/>
    </w:rPr>
  </w:style>
  <w:style w:type="paragraph" w:customStyle="1" w:styleId="20">
    <w:name w:val="BodyText1I2"/>
    <w:basedOn w:val="1"/>
    <w:next w:val="1"/>
    <w:autoRedefine/>
    <w:qFormat/>
    <w:uiPriority w:val="0"/>
    <w:pPr>
      <w:ind w:firstLine="420" w:firstLineChars="200"/>
      <w:textAlignment w:val="baseline"/>
    </w:pPr>
    <w:rPr>
      <w:szCs w:val="32"/>
    </w:rPr>
  </w:style>
  <w:style w:type="character" w:customStyle="1" w:styleId="21">
    <w:name w:val="font01"/>
    <w:basedOn w:val="9"/>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120</TotalTime>
  <ScaleCrop>false</ScaleCrop>
  <LinksUpToDate>false</LinksUpToDate>
  <CharactersWithSpaces>7293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泉</cp:lastModifiedBy>
  <cp:lastPrinted>2023-04-04T06:27:00Z</cp:lastPrinted>
  <dcterms:modified xsi:type="dcterms:W3CDTF">2024-04-03T03:39:17Z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7FA334C45F31475DBD3EE941FDE699B3_13</vt:lpwstr>
  </property>
</Properties>
</file>